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pPr>
              <w:pStyle w:val="8"/>
              <w:spacing w:line="360" w:lineRule="auto"/>
              <w:jc w:val="both"/>
              <w:rPr>
                <w:rFonts w:hint="eastAsia" w:ascii="仿宋" w:hAnsi="仿宋" w:eastAsia="仿宋" w:cs="仿宋"/>
                <w:b/>
                <w:bCs/>
                <w:color w:val="FF0000"/>
                <w:sz w:val="22"/>
                <w:szCs w:val="22"/>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tcPr>
          <w:p>
            <w:pPr>
              <w:ind w:right="284" w:rightChars="129"/>
              <w:jc w:val="center"/>
              <w:rPr>
                <w:rFonts w:hint="eastAsia" w:ascii="宋体" w:hAnsi="宋体" w:eastAsia="宋体" w:cs="宋体"/>
                <w:b/>
                <w:bCs/>
                <w:sz w:val="52"/>
                <w:szCs w:val="52"/>
                <w:lang w:val="en-US"/>
              </w:rPr>
            </w:pPr>
            <w:r>
              <w:rPr>
                <w:rFonts w:ascii="宋体" w:hAnsi="宋体" w:eastAsia="宋体" w:cs="宋体"/>
                <w:b/>
                <w:sz w:val="52"/>
                <w:u w:color="auto"/>
              </w:rPr>
              <w:t>2024年度宜兴市人民检察院部门决算公开</w:t>
            </w:r>
          </w:p>
        </w:tc>
      </w:tr>
    </w:tbl>
    <w:p>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700" w:bottom="770" w:left="1020" w:header="170" w:footer="280" w:gutter="0"/>
          <w:cols w:space="720" w:num="1"/>
          <w:formProt w:val="0"/>
          <w:titlePg/>
          <w:docGrid w:linePitch="100" w:charSpace="0"/>
        </w:sectPr>
      </w:pPr>
    </w:p>
    <w:p>
      <w:pPr>
        <w:pStyle w:val="8"/>
        <w:spacing w:before="4"/>
        <w:rPr>
          <w:rFonts w:hint="eastAsia" w:ascii="华文仿宋" w:hAnsi="华文仿宋" w:eastAsia="华文仿宋" w:cs="仿宋"/>
          <w:sz w:val="10"/>
        </w:rPr>
      </w:pPr>
    </w:p>
    <w:p>
      <w:pPr>
        <w:pStyle w:val="3"/>
        <w:tabs>
          <w:tab w:val="left" w:pos="880"/>
        </w:tabs>
        <w:spacing w:line="718" w:lineRule="exact"/>
        <w:ind w:right="313"/>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spacing w:before="7"/>
        <w:rPr>
          <w:rFonts w:hint="eastAsia" w:ascii="仿宋" w:hAnsi="仿宋" w:eastAsia="仿宋" w:cs="仿宋"/>
          <w:sz w:val="27"/>
        </w:rPr>
      </w:pPr>
    </w:p>
    <w:p>
      <w:pPr>
        <w:pStyle w:val="8"/>
        <w:spacing w:line="360" w:lineRule="auto"/>
        <w:ind w:left="671" w:leftChars="300" w:hanging="11"/>
        <w:jc w:val="both"/>
        <w:outlineLvl w:val="0"/>
        <w:rPr>
          <w:rFonts w:hint="eastAsia" w:ascii="黑体" w:hAnsi="黑体" w:eastAsia="黑体" w:cs="黑体"/>
        </w:rPr>
      </w:pPr>
      <w:r>
        <w:rPr>
          <w:rFonts w:hint="eastAsia" w:ascii="黑体" w:hAnsi="黑体" w:eastAsia="黑体" w:cs="黑体"/>
        </w:rPr>
        <w:t xml:space="preserve">第一部分 </w:t>
      </w:r>
      <w:r>
        <w:rPr>
          <w:rFonts w:hint="eastAsia" w:ascii="黑体" w:hAnsi="黑体" w:eastAsia="黑体" w:cs="黑体"/>
          <w:lang w:val="en-US"/>
        </w:rPr>
        <w:t>部门</w:t>
      </w:r>
      <w:r>
        <w:rPr>
          <w:rFonts w:hint="eastAsia" w:ascii="黑体" w:hAnsi="黑体" w:eastAsia="黑体" w:cs="黑体"/>
        </w:rPr>
        <w:t>概况</w:t>
      </w:r>
    </w:p>
    <w:p>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一、主要职能</w:t>
      </w:r>
    </w:p>
    <w:p>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rPr>
        <w:t>部门</w:t>
      </w:r>
      <w:r>
        <w:rPr>
          <w:rFonts w:hint="eastAsia" w:ascii="仿宋" w:hAnsi="仿宋" w:eastAsia="仿宋" w:cs="仿宋"/>
        </w:rPr>
        <w:t>机构设置及决算单位构成情况</w:t>
      </w:r>
    </w:p>
    <w:p>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年度主要工作完成情况</w:t>
      </w:r>
    </w:p>
    <w:p>
      <w:pPr>
        <w:pStyle w:val="8"/>
        <w:spacing w:line="360" w:lineRule="auto"/>
        <w:ind w:left="671" w:leftChars="300" w:hanging="11"/>
        <w:jc w:val="both"/>
        <w:rPr>
          <w:rFonts w:hint="eastAsia" w:ascii="黑体" w:hAnsi="黑体" w:eastAsia="黑体" w:cs="黑体"/>
        </w:rPr>
      </w:pPr>
      <w:r>
        <w:rPr>
          <w:rFonts w:hint="eastAsia" w:ascii="黑体" w:hAnsi="黑体" w:eastAsia="黑体" w:cs="黑体"/>
          <w:lang w:val="en-US"/>
        </w:rPr>
        <w:t xml:space="preserve">第二部分 </w:t>
      </w:r>
      <w:r>
        <w:rPr>
          <w:rFonts w:hint="eastAsia" w:ascii="黑体" w:hAnsi="黑体" w:eastAsia="黑体" w:cs="黑体"/>
          <w:lang w:val="en-US" w:eastAsia="zh-CN"/>
        </w:rPr>
        <w:t>2024</w:t>
      </w:r>
      <w:r>
        <w:rPr>
          <w:rFonts w:hint="eastAsia" w:ascii="黑体" w:hAnsi="黑体" w:eastAsia="黑体" w:cs="黑体"/>
          <w:lang w:val="en-US"/>
        </w:rPr>
        <w:t>年度</w:t>
      </w:r>
      <w:r>
        <w:rPr>
          <w:rFonts w:ascii="黑体" w:hAnsi="黑体" w:eastAsia="黑体" w:cs="黑体"/>
          <w:u w:color="auto"/>
        </w:rPr>
        <w:t>部门决算表</w:t>
      </w:r>
    </w:p>
    <w:p>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spacing w:val="-2"/>
        </w:rPr>
        <w:t>一、收入支出决算总表</w:t>
      </w:r>
    </w:p>
    <w:p>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rPr>
        <w:t>二、收入决算表</w:t>
      </w:r>
    </w:p>
    <w:p>
      <w:pPr>
        <w:pStyle w:val="8"/>
        <w:spacing w:line="360" w:lineRule="auto"/>
        <w:ind w:left="671" w:leftChars="300" w:hanging="11"/>
        <w:jc w:val="both"/>
        <w:rPr>
          <w:rFonts w:hint="eastAsia" w:ascii="仿宋" w:hAnsi="仿宋" w:eastAsia="仿宋" w:cs="仿宋"/>
        </w:rPr>
      </w:pPr>
      <w:r>
        <w:rPr>
          <w:rFonts w:hint="eastAsia" w:ascii="仿宋" w:hAnsi="仿宋" w:eastAsia="仿宋" w:cs="仿宋"/>
          <w:w w:val="95"/>
        </w:rPr>
        <w:t>三、支出决算表</w:t>
      </w:r>
    </w:p>
    <w:p>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四、财政拨款收入支出决算总表</w:t>
      </w:r>
    </w:p>
    <w:p>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五、财政拨款支出决算表（功能科目）</w:t>
      </w:r>
    </w:p>
    <w:p>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 xml:space="preserve">六、财政拨款基本支出决算表（经济科目） </w:t>
      </w:r>
    </w:p>
    <w:p>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七、一般公共预算支出决算表（功能科目）</w:t>
      </w:r>
    </w:p>
    <w:p>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八、一般公共预算基本支出决算表（经济科目）</w:t>
      </w:r>
    </w:p>
    <w:p>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rPr>
        <w:t>财政拨款</w:t>
      </w:r>
      <w:r>
        <w:rPr>
          <w:rFonts w:hint="eastAsia" w:ascii="仿宋" w:hAnsi="仿宋" w:eastAsia="仿宋" w:cs="仿宋"/>
        </w:rPr>
        <w:t>“三公”经费、会议费、培训费支出决算表</w:t>
      </w:r>
    </w:p>
    <w:p>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十、政府性基金预算支出决算表</w:t>
      </w:r>
    </w:p>
    <w:p>
      <w:pPr>
        <w:pStyle w:val="8"/>
        <w:spacing w:line="360" w:lineRule="auto"/>
        <w:ind w:left="671" w:leftChars="300" w:right="2575" w:hanging="11"/>
        <w:jc w:val="both"/>
        <w:rPr>
          <w:rFonts w:hint="eastAsia" w:ascii="仿宋" w:hAnsi="仿宋" w:eastAsia="仿宋" w:cs="仿宋"/>
          <w:lang w:val="en-US"/>
        </w:rPr>
      </w:pPr>
      <w:r>
        <w:rPr>
          <w:rFonts w:hint="eastAsia" w:ascii="仿宋" w:hAnsi="仿宋" w:eastAsia="仿宋" w:cs="仿宋"/>
        </w:rPr>
        <w:t>十一、</w:t>
      </w:r>
      <w:r>
        <w:rPr>
          <w:rFonts w:hint="eastAsia" w:ascii="仿宋" w:hAnsi="仿宋" w:eastAsia="仿宋" w:cs="仿宋"/>
          <w:lang w:val="en-US"/>
        </w:rPr>
        <w:t>国有资本经营预算支出决算表</w:t>
      </w:r>
    </w:p>
    <w:p>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二</w:t>
      </w:r>
      <w:r>
        <w:rPr>
          <w:rFonts w:hint="eastAsia" w:ascii="仿宋" w:hAnsi="仿宋" w:eastAsia="仿宋" w:cs="仿宋"/>
        </w:rPr>
        <w:t>、</w:t>
      </w:r>
      <w:r>
        <w:rPr>
          <w:rFonts w:hint="eastAsia" w:ascii="仿宋" w:hAnsi="仿宋" w:eastAsia="仿宋" w:cs="仿宋"/>
          <w:lang w:val="en-US"/>
        </w:rPr>
        <w:t>财政拨款</w:t>
      </w:r>
      <w:r>
        <w:rPr>
          <w:rFonts w:hint="eastAsia" w:ascii="仿宋" w:hAnsi="仿宋" w:eastAsia="仿宋" w:cs="仿宋"/>
        </w:rPr>
        <w:t>机关运行经费支出决算表</w:t>
      </w:r>
    </w:p>
    <w:p>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三</w:t>
      </w:r>
      <w:r>
        <w:rPr>
          <w:rFonts w:hint="eastAsia" w:ascii="仿宋" w:hAnsi="仿宋" w:eastAsia="仿宋" w:cs="仿宋"/>
        </w:rPr>
        <w:t>、政府采购支出决算表</w:t>
      </w:r>
    </w:p>
    <w:p>
      <w:pPr>
        <w:pStyle w:val="8"/>
        <w:spacing w:line="360" w:lineRule="auto"/>
        <w:ind w:left="671" w:leftChars="300" w:hanging="11"/>
        <w:jc w:val="both"/>
        <w:rPr>
          <w:rFonts w:hint="eastAsia" w:ascii="黑体" w:hAnsi="黑体" w:eastAsia="黑体" w:cs="黑体"/>
          <w:lang w:val="en-US"/>
        </w:rPr>
      </w:pPr>
      <w:r>
        <w:rPr>
          <w:rFonts w:hint="eastAsia" w:ascii="黑体" w:hAnsi="黑体" w:eastAsia="黑体" w:cs="黑体"/>
          <w:lang w:val="en-US"/>
        </w:rPr>
        <w:t xml:space="preserve">第三部分 </w:t>
      </w:r>
      <w:r>
        <w:rPr>
          <w:rFonts w:hint="eastAsia" w:ascii="黑体" w:hAnsi="黑体" w:eastAsia="黑体" w:cs="黑体"/>
          <w:lang w:val="en-US" w:eastAsia="zh-CN"/>
        </w:rPr>
        <w:t>2024</w:t>
      </w:r>
      <w:r>
        <w:rPr>
          <w:rFonts w:hint="eastAsia" w:ascii="黑体" w:hAnsi="黑体" w:eastAsia="黑体" w:cs="黑体"/>
          <w:lang w:val="en-US"/>
        </w:rPr>
        <w:t>年度</w:t>
      </w:r>
      <w:r>
        <w:rPr>
          <w:rFonts w:ascii="黑体" w:hAnsi="黑体" w:eastAsia="黑体" w:cs="黑体"/>
          <w:u w:color="auto"/>
        </w:rPr>
        <w:t>部门决算情况说明</w:t>
      </w:r>
    </w:p>
    <w:p>
      <w:pPr>
        <w:pStyle w:val="8"/>
        <w:spacing w:line="360" w:lineRule="auto"/>
        <w:ind w:left="671" w:leftChars="300" w:hanging="11"/>
        <w:jc w:val="both"/>
        <w:rPr>
          <w:rFonts w:hint="eastAsia" w:ascii="仿宋" w:hAnsi="仿宋" w:eastAsia="仿宋" w:cs="仿宋"/>
          <w:b/>
          <w:bCs/>
          <w:color w:val="000000"/>
          <w:sz w:val="30"/>
          <w:szCs w:val="30"/>
          <w:lang w:val="en-US" w:bidi="ar"/>
        </w:rPr>
      </w:pPr>
      <w:r>
        <w:rPr>
          <w:rFonts w:hint="eastAsia" w:ascii="黑体" w:hAnsi="黑体" w:eastAsia="黑体" w:cs="黑体"/>
          <w:lang w:val="en-US"/>
        </w:rPr>
        <w:t>第四部分 名词解释</w:t>
      </w:r>
    </w:p>
    <w:p>
      <w:pPr>
        <w:pStyle w:val="8"/>
        <w:spacing w:line="235" w:lineRule="auto"/>
        <w:ind w:left="669" w:leftChars="300" w:right="2414" w:hanging="9"/>
        <w:jc w:val="both"/>
        <w:rPr>
          <w:rFonts w:hint="eastAsia" w:ascii="仿宋" w:hAnsi="仿宋" w:eastAsia="仿宋" w:cs="仿宋"/>
        </w:rPr>
        <w:sectPr>
          <w:footerReference r:id="rId5" w:type="default"/>
          <w:pgSz w:w="11906" w:h="16838"/>
          <w:pgMar w:top="1580" w:right="700" w:bottom="770" w:left="1020" w:header="283" w:footer="280" w:gutter="0"/>
          <w:pgNumType w:fmt="numberInDash" w:start="1"/>
          <w:cols w:space="720" w:num="1"/>
          <w:formProt w:val="0"/>
          <w:docGrid w:linePitch="100" w:charSpace="0"/>
        </w:sectPr>
      </w:pPr>
    </w:p>
    <w:p>
      <w:pPr>
        <w:pStyle w:val="8"/>
        <w:spacing w:before="1"/>
        <w:rPr>
          <w:rFonts w:hint="eastAsia" w:ascii="华文仿宋" w:hAnsi="华文仿宋" w:eastAsia="华文仿宋" w:cs="仿宋"/>
          <w:sz w:val="14"/>
        </w:rPr>
      </w:pPr>
    </w:p>
    <w:p>
      <w:pPr>
        <w:pStyle w:val="5"/>
        <w:tabs>
          <w:tab w:val="left" w:pos="4395"/>
        </w:tabs>
        <w:spacing w:line="606" w:lineRule="exact"/>
        <w:ind w:right="504" w:rightChars="229"/>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rPr>
        <w:t xml:space="preserve"> </w:t>
      </w:r>
      <w:r>
        <w:rPr>
          <w:rFonts w:hint="eastAsia" w:ascii="宋体" w:hAnsi="宋体" w:eastAsia="宋体" w:cs="宋体"/>
          <w:b/>
          <w:bCs/>
        </w:rPr>
        <w:t>部门概况</w:t>
      </w:r>
    </w:p>
    <w:p>
      <w:pPr>
        <w:ind w:right="504" w:rightChars="229"/>
        <w:jc w:val="both"/>
        <w:rPr>
          <w:rFonts w:hint="eastAsia"/>
        </w:rPr>
      </w:pPr>
    </w:p>
    <w:p>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一、主要职能</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宜兴市人民检察院是国家法律监督机关，依法履行法律监督职能，保证国家法律的统一正确实施。其主要职责是：</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（一）深入贯彻习近平新时代中国特色社会主义思想，深入贯彻党的路线方针政策和决策部署，坚持党对检察工作的绝对领导，坚决维护习近平总书记的核心地位，坚决维护党中央权威和集中统一领导；</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（二）依法向市人民代表大会及其常务委员会提出议案；</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（三）贯彻落实上级人民检察院工作方针、总体规划，确定本院检察工作任务，并组织实施；</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（四）负责对刑事案件进行审查批准逮捕、决定逮捕、提起公诉；</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（五）负责应由本院承办的刑事、民事、行政诉讼活动及刑事、民事、行政判决和裁定等生效法律文书执行的法律监督工作；</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（六）负责应由本院承办的提起公益诉讼工作；</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（七）负责应由本院承办的对看守所、社区矫正机构等单位执法活动的法律监督工作；</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（八）受理向本院的控告、申诉和举报，承办国家赔偿案件和国家司法救助案件；</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（九）负责队伍建设和思想政治工作；</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（十）负责检务督察工作；</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（十一）负责财务装备、检察技术信息工作；</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（十二）负责其他应当由宜兴市人民检察院承办的事项。</w:t>
      </w:r>
    </w:p>
    <w:p>
      <w:pPr>
        <w:pStyle w:val="8"/>
        <w:spacing w:line="360" w:lineRule="auto"/>
        <w:ind w:left="440" w:leftChars="200" w:right="504" w:rightChars="229" w:firstLine="658"/>
        <w:jc w:val="both"/>
        <w:outlineLvl w:val="1"/>
        <w:rPr>
          <w:rFonts w:hint="eastAsia" w:ascii="黑体" w:hAnsi="黑体" w:eastAsia="黑体" w:cs="黑体"/>
          <w:lang w:val="en-US"/>
        </w:rPr>
      </w:pPr>
      <w:r>
        <w:rPr>
          <w:rFonts w:hint="eastAsia" w:ascii="黑体" w:hAnsi="黑体" w:eastAsia="黑体" w:cs="黑体"/>
        </w:rPr>
        <w:t>二、</w:t>
      </w:r>
      <w:r>
        <w:rPr>
          <w:rFonts w:hint="eastAsia" w:ascii="黑体" w:hAnsi="黑体" w:eastAsia="黑体" w:cs="黑体"/>
          <w:lang w:val="en-US"/>
        </w:rPr>
        <w:t>部门</w:t>
      </w:r>
      <w:r>
        <w:rPr>
          <w:rFonts w:hint="eastAsia" w:ascii="黑体" w:hAnsi="黑体" w:eastAsia="黑体" w:cs="黑体"/>
        </w:rPr>
        <w:t>机构设置及决算单位构成情况</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1.</w:t>
      </w:r>
      <w:r>
        <w:rPr>
          <w:rFonts w:hint="eastAsia" w:ascii="仿宋" w:hAnsi="仿宋" w:eastAsia="仿宋" w:cs="仿宋"/>
        </w:rPr>
        <w:t>根据</w:t>
      </w:r>
      <w:r>
        <w:rPr>
          <w:rFonts w:hint="eastAsia" w:ascii="仿宋" w:hAnsi="仿宋" w:eastAsia="仿宋" w:cs="仿宋"/>
          <w:lang w:val="en-US"/>
        </w:rPr>
        <w:t>部门</w:t>
      </w:r>
      <w:r>
        <w:rPr>
          <w:rFonts w:hint="eastAsia" w:ascii="仿宋" w:hAnsi="仿宋" w:eastAsia="仿宋" w:cs="仿宋"/>
        </w:rPr>
        <w:t>职责分工</w:t>
      </w:r>
      <w:r>
        <w:rPr>
          <w:rFonts w:hint="eastAsia" w:ascii="仿宋" w:hAnsi="仿宋" w:eastAsia="仿宋" w:cs="仿宋"/>
          <w:lang w:val="en-US"/>
        </w:rPr>
        <w:t>，</w:t>
      </w:r>
      <w:r>
        <w:rPr>
          <w:rFonts w:ascii="仿宋" w:hAnsi="仿宋" w:eastAsia="仿宋" w:cs="仿宋"/>
          <w:u w:color="auto"/>
        </w:rPr>
        <w:t>本部门内设机构包括（一）办公室、（二）第一检察部、（三）第二检察部、（四）第三检察部、（五）第四检察部、（六）第五检察部、（七）第六检察部、（八）第七检察部、（九）第八检察部、（十）政治部。本部门下属单位包括：宜兴市公益损害防控中心。</w:t>
      </w:r>
    </w:p>
    <w:p>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rPr>
        <w:t>2.</w:t>
      </w:r>
      <w:r>
        <w:rPr>
          <w:rFonts w:hint="eastAsia" w:ascii="仿宋" w:hAnsi="仿宋" w:eastAsia="仿宋" w:cs="仿宋"/>
        </w:rPr>
        <w:t>从决算单位构成看</w:t>
      </w:r>
      <w:r>
        <w:rPr>
          <w:rFonts w:hint="eastAsia" w:ascii="仿宋" w:hAnsi="仿宋" w:eastAsia="仿宋" w:cs="仿宋"/>
          <w:lang w:val="en-US"/>
        </w:rPr>
        <w:t>，</w:t>
      </w:r>
      <w:r>
        <w:rPr>
          <w:rFonts w:hint="eastAsia" w:ascii="仿宋" w:hAnsi="仿宋" w:eastAsia="仿宋" w:cs="仿宋"/>
        </w:rPr>
        <w:t>纳入本</w:t>
      </w:r>
      <w:r>
        <w:rPr>
          <w:rFonts w:hint="eastAsia" w:ascii="仿宋" w:hAnsi="仿宋" w:eastAsia="仿宋" w:cs="仿宋"/>
          <w:lang w:val="en-US"/>
        </w:rPr>
        <w:t>部门</w:t>
      </w:r>
      <w:r>
        <w:rPr>
          <w:rFonts w:hint="eastAsia" w:ascii="仿宋" w:hAnsi="仿宋" w:eastAsia="仿宋" w:cs="仿宋"/>
          <w:lang w:val="en-US" w:eastAsia="zh-CN"/>
        </w:rPr>
        <w:t>2024</w:t>
      </w:r>
      <w:r>
        <w:rPr>
          <w:rFonts w:hint="eastAsia" w:ascii="仿宋" w:hAnsi="仿宋" w:eastAsia="仿宋" w:cs="仿宋"/>
        </w:rPr>
        <w:t>年</w:t>
      </w:r>
      <w:r>
        <w:rPr>
          <w:rFonts w:hint="eastAsia" w:ascii="仿宋" w:hAnsi="仿宋" w:eastAsia="仿宋" w:cs="仿宋"/>
          <w:lang w:val="en-US"/>
        </w:rPr>
        <w:t>部门</w:t>
      </w:r>
      <w:r>
        <w:rPr>
          <w:rFonts w:hint="eastAsia" w:ascii="仿宋" w:hAnsi="仿宋" w:eastAsia="仿宋" w:cs="仿宋"/>
        </w:rPr>
        <w:t>汇总决算编制范围的预算单位共计</w:t>
      </w:r>
      <w:r>
        <w:rPr>
          <w:rFonts w:ascii="仿宋" w:hAnsi="仿宋" w:eastAsia="仿宋" w:cs="仿宋"/>
          <w:u w:color="auto"/>
        </w:rPr>
        <w:t>1</w:t>
      </w:r>
      <w:r>
        <w:rPr>
          <w:rFonts w:hint="eastAsia" w:ascii="仿宋" w:hAnsi="仿宋" w:eastAsia="仿宋" w:cs="仿宋"/>
        </w:rPr>
        <w:t>家</w:t>
      </w:r>
      <w:r>
        <w:rPr>
          <w:rFonts w:hint="eastAsia" w:ascii="仿宋" w:hAnsi="仿宋" w:eastAsia="仿宋" w:cs="仿宋"/>
          <w:lang w:val="en-US"/>
        </w:rPr>
        <w:t>，</w:t>
      </w:r>
      <w:r>
        <w:rPr>
          <w:rFonts w:hint="eastAsia" w:ascii="仿宋" w:hAnsi="仿宋" w:eastAsia="仿宋" w:cs="仿宋"/>
        </w:rPr>
        <w:t>具体包括</w:t>
      </w:r>
      <w:r>
        <w:rPr>
          <w:rFonts w:hint="eastAsia" w:ascii="仿宋" w:hAnsi="仿宋" w:eastAsia="仿宋" w:cs="仿宋"/>
          <w:lang w:val="en-US"/>
        </w:rPr>
        <w:t>：</w:t>
      </w:r>
      <w:r>
        <w:rPr>
          <w:rFonts w:ascii="仿宋" w:hAnsi="仿宋" w:eastAsia="仿宋" w:cs="仿宋"/>
          <w:u w:color="auto"/>
        </w:rPr>
        <w:t>宜兴市人民检察院。</w:t>
      </w:r>
    </w:p>
    <w:p>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三、</w:t>
      </w:r>
      <w:r>
        <w:rPr>
          <w:rFonts w:hint="eastAsia" w:ascii="黑体" w:hAnsi="黑体" w:eastAsia="黑体" w:cs="黑体"/>
          <w:lang w:eastAsia="zh-CN"/>
        </w:rPr>
        <w:t>2024</w:t>
      </w:r>
      <w:r>
        <w:rPr>
          <w:rFonts w:hint="eastAsia" w:ascii="黑体" w:hAnsi="黑体" w:eastAsia="黑体" w:cs="黑体"/>
        </w:rPr>
        <w:t>年度主要工作完成情况</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2024年，宜兴市人民检察院以习近平新时代中国特色社会主义思想为指导，深入贯彻学习习近平总书记对江苏工作重要讲话重要指示精神，全面履行法律监督职责，全面深化改革创新，全面加强队伍建设，努力为宜兴高质量发展贡献检察力量。</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一是倾力保障产业强市战略。始终坚持围绕中心、服务大局开展工作，在优化营商环境上主动担当、积极作为。继续严厉打击恶意逃废债务行为，依法惩治侵犯民营企业投资者、管理者和从业人员合法权益的犯罪，加强企业家人身权财产权、企业知识产权司法保护，依托服务民营企业法律联盟帮助企业防控违法犯罪风险，营造平等保护的法治环境。</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二是倾力维护社会大局稳定。依法惩治国家政治安全领域犯罪，严厉打击各类黑恶势力犯罪及其“保护伞”。切实承担起主导责任，依法落实认罪认罚从宽制度，积极用好起诉裁量权，努力消解社会戾气，促进社会和谐。继续当好党委政府的法治参谋，找准检察工作切入点、结合点，推进社会治理体系和治理能力现代化建设。</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三是倾力促进社会公平正义。充分履行四大检察职能，突出惩治生态环境、食品药品、安全生产等领域违法犯罪行为，深入开展公益诉讼工作，强化诉讼活动监督，积极回应人民群众新要求新期待，努力让人民群众在每一个司法案件中感受到公平正义。</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四是倾力提升队伍专业化水平。加快检察人才培养和职业素能建设，不断筑牢专业化能力基础。对标政法队伍“四个铁一般”的目标要求，找差距、补短板，坚决落实从严治党、从严治检各项规定，全力打造一支让党放心、让人民满意的新时代检察队伍。</w:t>
      </w:r>
    </w:p>
    <w:p>
      <w:pPr>
        <w:pStyle w:val="8"/>
        <w:spacing w:line="235" w:lineRule="auto"/>
        <w:ind w:left="669" w:leftChars="300" w:right="2414" w:hanging="9"/>
        <w:jc w:val="both"/>
        <w:rPr>
          <w:rFonts w:hint="eastAsia" w:ascii="仿宋" w:hAnsi="仿宋" w:eastAsia="仿宋" w:cs="仿宋"/>
          <w:lang w:val="en-US"/>
        </w:rPr>
        <w:sectPr>
          <w:footerReference r:id="rId6" w:type="default"/>
          <w:pgSz w:w="11906" w:h="16838"/>
          <w:pgMar w:top="1580" w:right="700" w:bottom="770" w:left="1020" w:header="283" w:footer="280" w:gutter="0"/>
          <w:pgNumType w:fmt="numberInDash"/>
          <w:cols w:space="720" w:num="1"/>
          <w:formProt w:val="0"/>
          <w:docGrid w:linePitch="100" w:charSpace="0"/>
        </w:sectPr>
      </w:pPr>
    </w:p>
    <w:p>
      <w:pPr>
        <w:pStyle w:val="8"/>
        <w:spacing w:line="360" w:lineRule="auto"/>
        <w:ind w:left="440" w:leftChars="200" w:right="504" w:rightChars="229" w:firstLine="658"/>
        <w:jc w:val="both"/>
        <w:rPr>
          <w:rFonts w:hint="eastAsia" w:ascii="仿宋" w:hAnsi="仿宋" w:eastAsia="仿宋" w:cs="仿宋"/>
          <w:lang w:val="en-US"/>
        </w:rPr>
      </w:pPr>
    </w:p>
    <w:p>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pPr>
        <w:pStyle w:val="21"/>
        <w:tabs>
          <w:tab w:val="left" w:pos="1609"/>
        </w:tabs>
        <w:spacing w:before="12" w:line="300" w:lineRule="auto"/>
        <w:ind w:left="340" w:right="567" w:firstLine="0"/>
        <w:jc w:val="center"/>
        <w:outlineLvl w:val="0"/>
        <w:rPr>
          <w:rFonts w:hint="eastAsia" w:ascii="宋体" w:hAnsi="宋体" w:eastAsia="宋体" w:cs="宋体"/>
          <w:b/>
          <w:bCs/>
          <w:sz w:val="36"/>
          <w:szCs w:val="36"/>
          <w:lang w:val="en-US"/>
        </w:rPr>
      </w:pPr>
      <w:r>
        <w:rPr>
          <w:rFonts w:hint="eastAsia" w:ascii="宋体" w:hAnsi="宋体" w:eastAsia="宋体" w:cs="宋体"/>
          <w:b/>
          <w:bCs/>
          <w:sz w:val="36"/>
          <w:szCs w:val="36"/>
        </w:rPr>
        <w:t>第二部分</w:t>
      </w:r>
    </w:p>
    <w:p>
      <w:pPr>
        <w:pStyle w:val="21"/>
        <w:tabs>
          <w:tab w:val="left" w:pos="1609"/>
        </w:tabs>
        <w:spacing w:before="12"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rPr>
        <w:t>宜兴市人民检察院</w:t>
      </w:r>
    </w:p>
    <w:p>
      <w:pPr>
        <w:pStyle w:val="21"/>
        <w:tabs>
          <w:tab w:val="left" w:pos="1609"/>
        </w:tabs>
        <w:spacing w:before="12"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2024</w:t>
      </w:r>
      <w:r>
        <w:rPr>
          <w:rFonts w:hint="eastAsia" w:ascii="宋体" w:hAnsi="宋体" w:eastAsia="宋体" w:cs="宋体"/>
          <w:b/>
          <w:bCs/>
          <w:sz w:val="36"/>
          <w:szCs w:val="36"/>
        </w:rPr>
        <w:t>年度</w:t>
      </w:r>
      <w:r>
        <w:rPr>
          <w:rFonts w:hint="eastAsia" w:ascii="宋体" w:hAnsi="宋体" w:eastAsia="宋体" w:cs="宋体"/>
          <w:b/>
          <w:bCs/>
          <w:sz w:val="36"/>
          <w:szCs w:val="36"/>
          <w:lang w:val="en-US"/>
        </w:rPr>
        <w:t>部门</w:t>
      </w:r>
      <w:r>
        <w:rPr>
          <w:rFonts w:ascii="宋体" w:hAnsi="宋体" w:eastAsia="宋体" w:cs="宋体"/>
          <w:b/>
          <w:sz w:val="36"/>
          <w:u w:color="auto"/>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tblPrEx>
          <w:tblCellMar>
            <w:top w:w="0" w:type="dxa"/>
            <w:left w:w="108" w:type="dxa"/>
            <w:bottom w:w="0" w:type="dxa"/>
            <w:right w:w="108" w:type="dxa"/>
          </w:tblCellMar>
        </w:tblPrEx>
        <w:trPr>
          <w:trHeight w:val="544" w:hRule="atLeast"/>
          <w:jc w:val="center"/>
        </w:trPr>
        <w:tc>
          <w:tcPr>
            <w:tcW w:w="10447" w:type="dxa"/>
            <w:gridSpan w:val="5"/>
          </w:tcPr>
          <w:p>
            <w:pPr>
              <w:pageBreakBefore/>
              <w:jc w:val="center"/>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tblPrEx>
          <w:tblCellMar>
            <w:top w:w="0" w:type="dxa"/>
            <w:left w:w="108" w:type="dxa"/>
            <w:bottom w:w="0" w:type="dxa"/>
            <w:right w:w="108" w:type="dxa"/>
          </w:tblCellMar>
        </w:tblPrEx>
        <w:trPr>
          <w:trHeight w:val="348" w:hRule="atLeast"/>
          <w:jc w:val="center"/>
        </w:trPr>
        <w:tc>
          <w:tcPr>
            <w:tcW w:w="3468" w:type="dxa"/>
          </w:tcPr>
          <w:p>
            <w:pPr>
              <w:rPr>
                <w:rFonts w:hint="eastAsia" w:ascii="仿宋" w:hAnsi="仿宋" w:eastAsia="仿宋" w:cs="仿宋"/>
                <w:color w:val="000000"/>
                <w:sz w:val="20"/>
              </w:rPr>
            </w:pPr>
          </w:p>
        </w:tc>
        <w:tc>
          <w:tcPr>
            <w:tcW w:w="1777" w:type="dxa"/>
          </w:tcPr>
          <w:p>
            <w:pPr>
              <w:rPr>
                <w:rFonts w:hint="eastAsia" w:ascii="仿宋" w:hAnsi="仿宋" w:eastAsia="仿宋" w:cs="仿宋"/>
                <w:color w:val="000000"/>
                <w:sz w:val="20"/>
              </w:rPr>
            </w:pPr>
          </w:p>
        </w:tc>
        <w:tc>
          <w:tcPr>
            <w:tcW w:w="5202" w:type="dxa"/>
            <w:gridSpan w:val="3"/>
          </w:tcPr>
          <w:p>
            <w:pPr>
              <w:jc w:val="right"/>
              <w:rPr>
                <w:rFonts w:hint="eastAsia" w:ascii="仿宋" w:hAnsi="仿宋" w:eastAsia="仿宋" w:cs="仿宋"/>
                <w:color w:val="000000"/>
              </w:rPr>
            </w:pPr>
            <w:r>
              <w:rPr>
                <w:rFonts w:hint="eastAsia" w:ascii="仿宋" w:hAnsi="仿宋" w:eastAsia="仿宋" w:cs="仿宋"/>
                <w:color w:val="000000"/>
                <w:lang w:eastAsia="ar-SA"/>
              </w:rPr>
              <w:t>公开01表</w:t>
            </w:r>
          </w:p>
        </w:tc>
      </w:tr>
      <w:tr>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pPr>
              <w:rPr>
                <w:rFonts w:hint="eastAsia" w:ascii="仿宋" w:hAnsi="仿宋" w:eastAsia="仿宋" w:cs="仿宋"/>
                <w:color w:val="000000"/>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color w:val="000000"/>
                <w:lang w:eastAsia="ar-SA"/>
              </w:rPr>
              <w:t>宜兴市人民检察院</w:t>
            </w:r>
          </w:p>
        </w:tc>
        <w:tc>
          <w:tcPr>
            <w:tcW w:w="3167" w:type="dxa"/>
            <w:gridSpan w:val="2"/>
            <w:tcBorders>
              <w:bottom w:val="single" w:color="000000" w:sz="4" w:space="0"/>
            </w:tcBorders>
            <w:vAlign w:val="center"/>
          </w:tcPr>
          <w:p>
            <w:pPr>
              <w:jc w:val="right"/>
              <w:rPr>
                <w:rFonts w:hint="eastAsia" w:ascii="仿宋" w:hAnsi="仿宋" w:eastAsia="仿宋" w:cs="仿宋"/>
                <w:color w:val="000000"/>
              </w:rPr>
            </w:pPr>
            <w:r>
              <w:rPr>
                <w:rFonts w:hint="eastAsia" w:ascii="仿宋" w:hAnsi="仿宋" w:eastAsia="仿宋" w:cs="仿宋"/>
                <w:color w:val="000000"/>
              </w:rPr>
              <w:t>金额单位：万元</w:t>
            </w:r>
          </w:p>
        </w:tc>
      </w:tr>
      <w:tr>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color w:val="000000"/>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color w:val="000000"/>
                <w:lang w:eastAsia="ar-SA"/>
              </w:rPr>
              <w:t>支出</w:t>
            </w:r>
          </w:p>
        </w:tc>
      </w:tr>
      <w:tr>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ascii="仿宋" w:hAnsi="仿宋" w:eastAsia="仿宋" w:cs="仿宋"/>
                <w:color w:val="000000"/>
                <w:u w:color="auto"/>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color w:val="000000"/>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color w:val="000000"/>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color w:val="000000"/>
                <w:lang w:eastAsia="ar-SA"/>
              </w:rPr>
              <w:t>决算数</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6,214.56</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0.80</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4,558.14</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518.49</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129.50</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1,007.63</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b/>
                <w:bCs/>
                <w:color w:val="000000"/>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rPr>
            </w:pPr>
            <w:r>
              <w:rPr>
                <w:rFonts w:hint="eastAsia" w:ascii="仿宋" w:hAnsi="仿宋" w:eastAsia="仿宋" w:cs="仿宋"/>
                <w:color w:val="000000"/>
                <w:lang w:eastAsia="ar-SA"/>
              </w:rPr>
              <w:t>6,214.56</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bCs/>
                <w:color w:val="000000"/>
              </w:rPr>
            </w:pPr>
            <w:r>
              <w:rPr>
                <w:rFonts w:hint="eastAsia" w:ascii="仿宋" w:hAnsi="仿宋" w:eastAsia="仿宋" w:cs="仿宋"/>
                <w:b/>
                <w:bCs/>
                <w:color w:val="000000"/>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rPr>
            </w:pPr>
            <w:r>
              <w:rPr>
                <w:rFonts w:hint="eastAsia" w:ascii="仿宋" w:hAnsi="仿宋" w:eastAsia="仿宋" w:cs="仿宋"/>
                <w:color w:val="000000"/>
                <w:lang w:eastAsia="ar-SA"/>
              </w:rPr>
              <w:t>6,214.56</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ind w:firstLine="220" w:firstLineChars="100"/>
              <w:rPr>
                <w:rFonts w:hint="eastAsia" w:ascii="仿宋" w:hAnsi="仿宋" w:eastAsia="仿宋" w:cs="仿宋"/>
                <w:color w:val="000000"/>
              </w:rPr>
            </w:pPr>
            <w:r>
              <w:rPr>
                <w:rFonts w:hint="eastAsia" w:ascii="仿宋" w:hAnsi="仿宋" w:eastAsia="仿宋" w:cs="仿宋"/>
                <w:color w:val="000000"/>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rPr>
                <w:rFonts w:hint="eastAsia" w:ascii="仿宋" w:hAnsi="仿宋" w:eastAsia="仿宋" w:cs="仿宋"/>
                <w:color w:val="000000"/>
              </w:rPr>
            </w:pPr>
            <w:r>
              <w:rPr>
                <w:rFonts w:hint="eastAsia" w:ascii="仿宋" w:hAnsi="仿宋" w:eastAsia="仿宋" w:cs="仿宋"/>
                <w:color w:val="000000"/>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rPr>
            </w:pP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rPr>
            </w:pPr>
          </w:p>
        </w:tc>
      </w:tr>
      <w:tr>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000000"/>
              </w:rPr>
            </w:pPr>
          </w:p>
        </w:tc>
        <w:tc>
          <w:tcPr>
            <w:tcW w:w="1777"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000000"/>
              </w:rPr>
            </w:pPr>
          </w:p>
        </w:tc>
        <w:tc>
          <w:tcPr>
            <w:tcW w:w="3376" w:type="dxa"/>
            <w:gridSpan w:val="2"/>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000000"/>
              </w:rPr>
            </w:pPr>
          </w:p>
        </w:tc>
        <w:tc>
          <w:tcPr>
            <w:tcW w:w="182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000000"/>
              </w:rPr>
            </w:pPr>
          </w:p>
        </w:tc>
      </w:tr>
      <w:tr>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rPr>
            </w:pPr>
            <w:r>
              <w:rPr>
                <w:rFonts w:hint="eastAsia" w:ascii="仿宋" w:hAnsi="仿宋" w:eastAsia="仿宋" w:cs="仿宋"/>
                <w:color w:val="000000"/>
                <w:lang w:eastAsia="ar-SA"/>
              </w:rPr>
              <w:t>6,214.56</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rPr>
            </w:pPr>
            <w:r>
              <w:rPr>
                <w:rFonts w:hint="eastAsia" w:ascii="仿宋" w:hAnsi="仿宋" w:eastAsia="仿宋" w:cs="仿宋"/>
                <w:color w:val="000000"/>
                <w:lang w:eastAsia="ar-SA"/>
              </w:rPr>
              <w:t>6,214.56</w:t>
            </w:r>
          </w:p>
        </w:tc>
      </w:tr>
    </w:tbl>
    <w:p>
      <w:pPr>
        <w:spacing w:before="66"/>
        <w:jc w:val="both"/>
        <w:rPr>
          <w:rFonts w:hint="eastAsia" w:ascii="仿宋" w:hAnsi="仿宋" w:eastAsia="仿宋" w:cs="仿宋"/>
          <w:color w:val="000000"/>
          <w:lang w:val="en-US"/>
        </w:rPr>
      </w:pPr>
      <w:r>
        <w:rPr>
          <w:rFonts w:hint="eastAsia" w:ascii="仿宋" w:hAnsi="仿宋" w:eastAsia="仿宋" w:cs="仿宋"/>
          <w:color w:val="000000"/>
          <w:lang w:val="en-US"/>
        </w:rPr>
        <w:t>注：本表反映本年度的总收支和年末结转结余情况。本表金额单位转换时可能存在尾数误差。</w:t>
      </w:r>
    </w:p>
    <w:p>
      <w:pPr>
        <w:spacing w:before="66"/>
        <w:jc w:val="both"/>
        <w:rPr>
          <w:rFonts w:hint="eastAsia" w:ascii="仿宋" w:hAnsi="仿宋" w:eastAsia="仿宋" w:cs="仿宋"/>
          <w:color w:val="000000"/>
          <w:lang w:val="en-US"/>
        </w:rPr>
        <w:sectPr>
          <w:footerReference r:id="rId7" w:type="default"/>
          <w:pgSz w:w="11906" w:h="16838"/>
          <w:pgMar w:top="720" w:right="720" w:bottom="720" w:left="720" w:header="170" w:footer="280" w:gutter="0"/>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tblPrEx>
          <w:tblCellMar>
            <w:top w:w="0" w:type="dxa"/>
            <w:left w:w="108" w:type="dxa"/>
            <w:bottom w:w="0" w:type="dxa"/>
            <w:right w:w="108" w:type="dxa"/>
          </w:tblCellMar>
        </w:tblPrEx>
        <w:trPr>
          <w:trHeight w:val="403" w:hRule="atLeast"/>
          <w:jc w:val="center"/>
        </w:trPr>
        <w:tc>
          <w:tcPr>
            <w:tcW w:w="16660" w:type="dxa"/>
            <w:gridSpan w:val="10"/>
            <w:vAlign w:val="center"/>
          </w:tcPr>
          <w:p>
            <w:pPr>
              <w:pStyle w:val="5"/>
              <w:rPr>
                <w:rFonts w:hint="eastAsia" w:ascii="仿宋" w:hAnsi="仿宋" w:eastAsia="仿宋" w:cs="仿宋"/>
                <w:b/>
                <w:bCs/>
                <w:sz w:val="44"/>
                <w:szCs w:val="44"/>
                <w:lang w:val="en-US"/>
              </w:rPr>
            </w:pPr>
            <w:r>
              <w:rPr>
                <w:rFonts w:hint="eastAsia" w:ascii="宋体" w:hAnsi="宋体" w:eastAsia="宋体" w:cs="宋体"/>
                <w:b/>
                <w:bCs/>
                <w:color w:val="000000"/>
                <w:lang w:eastAsia="ar-SA"/>
              </w:rPr>
              <w:t>收入决算表</w:t>
            </w:r>
          </w:p>
        </w:tc>
      </w:tr>
      <w:tr>
        <w:tblPrEx>
          <w:tblCellMar>
            <w:top w:w="0" w:type="dxa"/>
            <w:left w:w="108" w:type="dxa"/>
            <w:bottom w:w="0" w:type="dxa"/>
            <w:right w:w="108" w:type="dxa"/>
          </w:tblCellMar>
        </w:tblPrEx>
        <w:trPr>
          <w:trHeight w:val="247" w:hRule="atLeast"/>
          <w:jc w:val="center"/>
        </w:trPr>
        <w:tc>
          <w:tcPr>
            <w:tcW w:w="4357" w:type="dxa"/>
            <w:gridSpan w:val="2"/>
            <w:vAlign w:val="center"/>
          </w:tcPr>
          <w:p>
            <w:pPr>
              <w:pStyle w:val="22"/>
              <w:jc w:val="center"/>
              <w:rPr>
                <w:rFonts w:hint="eastAsia" w:ascii="仿宋" w:hAnsi="仿宋" w:eastAsia="仿宋" w:cs="仿宋"/>
              </w:rPr>
            </w:pPr>
          </w:p>
        </w:tc>
        <w:tc>
          <w:tcPr>
            <w:tcW w:w="1716" w:type="dxa"/>
            <w:vAlign w:val="center"/>
          </w:tcPr>
          <w:p>
            <w:pPr>
              <w:pStyle w:val="22"/>
              <w:jc w:val="center"/>
              <w:rPr>
                <w:rFonts w:hint="eastAsia" w:ascii="仿宋" w:hAnsi="仿宋" w:eastAsia="仿宋" w:cs="仿宋"/>
              </w:rPr>
            </w:pPr>
          </w:p>
        </w:tc>
        <w:tc>
          <w:tcPr>
            <w:tcW w:w="1728" w:type="dxa"/>
            <w:vAlign w:val="center"/>
          </w:tcPr>
          <w:p>
            <w:pPr>
              <w:pStyle w:val="22"/>
              <w:jc w:val="center"/>
              <w:rPr>
                <w:rFonts w:hint="eastAsia" w:ascii="仿宋" w:hAnsi="仿宋" w:eastAsia="仿宋" w:cs="仿宋"/>
              </w:rPr>
            </w:pPr>
          </w:p>
        </w:tc>
        <w:tc>
          <w:tcPr>
            <w:tcW w:w="1686" w:type="dxa"/>
            <w:vAlign w:val="center"/>
          </w:tcPr>
          <w:p>
            <w:pPr>
              <w:pStyle w:val="22"/>
              <w:jc w:val="center"/>
              <w:rPr>
                <w:rFonts w:hint="eastAsia" w:ascii="仿宋" w:hAnsi="仿宋" w:eastAsia="仿宋" w:cs="仿宋"/>
              </w:rPr>
            </w:pPr>
          </w:p>
        </w:tc>
        <w:tc>
          <w:tcPr>
            <w:tcW w:w="3207" w:type="dxa"/>
            <w:gridSpan w:val="2"/>
            <w:vAlign w:val="center"/>
          </w:tcPr>
          <w:p>
            <w:pPr>
              <w:pStyle w:val="22"/>
              <w:jc w:val="center"/>
              <w:rPr>
                <w:rFonts w:hint="eastAsia" w:ascii="仿宋" w:hAnsi="仿宋" w:eastAsia="仿宋" w:cs="仿宋"/>
              </w:rPr>
            </w:pPr>
          </w:p>
        </w:tc>
        <w:tc>
          <w:tcPr>
            <w:tcW w:w="1263" w:type="dxa"/>
            <w:vAlign w:val="center"/>
          </w:tcPr>
          <w:p>
            <w:pPr>
              <w:pStyle w:val="22"/>
              <w:jc w:val="center"/>
              <w:rPr>
                <w:rFonts w:hint="eastAsia" w:ascii="仿宋" w:hAnsi="仿宋" w:eastAsia="仿宋" w:cs="仿宋"/>
              </w:rPr>
            </w:pPr>
          </w:p>
        </w:tc>
        <w:tc>
          <w:tcPr>
            <w:tcW w:w="2703" w:type="dxa"/>
            <w:gridSpan w:val="2"/>
            <w:vAlign w:val="center"/>
          </w:tcPr>
          <w:p>
            <w:pPr>
              <w:pStyle w:val="22"/>
              <w:jc w:val="right"/>
              <w:rPr>
                <w:rFonts w:hint="eastAsia" w:ascii="仿宋" w:hAnsi="仿宋" w:eastAsia="仿宋" w:cs="仿宋"/>
              </w:rPr>
            </w:pPr>
            <w:r>
              <w:rPr>
                <w:rFonts w:hint="eastAsia" w:ascii="仿宋" w:hAnsi="仿宋" w:eastAsia="仿宋" w:cs="仿宋"/>
              </w:rPr>
              <w:t>公开02表</w:t>
            </w:r>
          </w:p>
        </w:tc>
      </w:tr>
      <w:tr>
        <w:tblPrEx>
          <w:tblCellMar>
            <w:top w:w="0" w:type="dxa"/>
            <w:left w:w="108" w:type="dxa"/>
            <w:bottom w:w="0" w:type="dxa"/>
            <w:right w:w="108" w:type="dxa"/>
          </w:tblCellMar>
        </w:tblPrEx>
        <w:trPr>
          <w:trHeight w:val="247" w:hRule="atLeast"/>
          <w:jc w:val="center"/>
        </w:trPr>
        <w:tc>
          <w:tcPr>
            <w:tcW w:w="13957" w:type="dxa"/>
            <w:gridSpan w:val="8"/>
            <w:vAlign w:val="center"/>
          </w:tcPr>
          <w:p>
            <w:pPr>
              <w:pStyle w:val="22"/>
              <w:rPr>
                <w:rFonts w:hint="eastAsia" w:ascii="仿宋" w:hAnsi="仿宋" w:eastAsia="仿宋" w:cs="仿宋"/>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rPr>
              <w:t>宜兴市人民检察院</w:t>
            </w:r>
          </w:p>
        </w:tc>
        <w:tc>
          <w:tcPr>
            <w:tcW w:w="2703" w:type="dxa"/>
            <w:gridSpan w:val="2"/>
            <w:vAlign w:val="center"/>
          </w:tcPr>
          <w:p>
            <w:pPr>
              <w:pStyle w:val="22"/>
              <w:jc w:val="right"/>
              <w:rPr>
                <w:rFonts w:hint="eastAsia" w:ascii="仿宋" w:hAnsi="仿宋" w:eastAsia="仿宋" w:cs="仿宋"/>
              </w:rPr>
            </w:pPr>
            <w:r>
              <w:rPr>
                <w:rFonts w:hint="eastAsia" w:ascii="仿宋" w:hAnsi="仿宋" w:eastAsia="仿宋" w:cs="仿宋"/>
              </w:rPr>
              <w:t>金额单位：万元</w:t>
            </w:r>
          </w:p>
        </w:tc>
      </w:tr>
      <w:tr>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其他收入</w:t>
            </w:r>
          </w:p>
        </w:tc>
      </w:tr>
      <w:tr>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功能分类</w:t>
            </w:r>
          </w:p>
          <w:p>
            <w:pPr>
              <w:pStyle w:val="22"/>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pPr>
              <w:rPr>
                <w:rFonts w:hint="eastAsia" w:ascii="仿宋" w:hAnsi="仿宋" w:eastAsia="仿宋" w:cs="仿宋"/>
              </w:rPr>
            </w:pPr>
          </w:p>
        </w:tc>
        <w:tc>
          <w:tcPr>
            <w:tcW w:w="1728" w:type="dxa"/>
            <w:vMerge w:val="continue"/>
            <w:tcBorders>
              <w:left w:val="single" w:color="000000" w:sz="4" w:space="0"/>
              <w:bottom w:val="single" w:color="000000" w:sz="4" w:space="0"/>
            </w:tcBorders>
          </w:tcPr>
          <w:p>
            <w:pPr>
              <w:rPr>
                <w:rFonts w:hint="eastAsia" w:ascii="仿宋" w:hAnsi="仿宋" w:eastAsia="仿宋" w:cs="仿宋"/>
              </w:rPr>
            </w:pPr>
          </w:p>
        </w:tc>
        <w:tc>
          <w:tcPr>
            <w:tcW w:w="1686" w:type="dxa"/>
            <w:vMerge w:val="continue"/>
            <w:tcBorders>
              <w:left w:val="single" w:color="000000" w:sz="4" w:space="0"/>
              <w:bottom w:val="single" w:color="000000" w:sz="4" w:space="0"/>
            </w:tcBorders>
          </w:tcPr>
          <w:p>
            <w:pPr>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pPr>
              <w:pStyle w:val="22"/>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pPr>
              <w:pStyle w:val="22"/>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pPr>
              <w:rPr>
                <w:rFonts w:hint="eastAsia" w:ascii="仿宋" w:hAnsi="仿宋" w:eastAsia="仿宋" w:cs="仿宋"/>
              </w:rPr>
            </w:pPr>
          </w:p>
        </w:tc>
        <w:tc>
          <w:tcPr>
            <w:tcW w:w="1375" w:type="dxa"/>
            <w:vMerge w:val="continue"/>
            <w:tcBorders>
              <w:left w:val="single" w:color="000000" w:sz="4" w:space="0"/>
              <w:bottom w:val="single" w:color="000000" w:sz="4" w:space="0"/>
            </w:tcBorders>
          </w:tcPr>
          <w:p>
            <w:pPr>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ascii="仿宋" w:hAnsi="仿宋" w:eastAsia="仿宋" w:cs="仿宋"/>
                <w:u w:color="auto"/>
              </w:rPr>
              <w:t>合计</w:t>
            </w:r>
          </w:p>
        </w:tc>
        <w:tc>
          <w:tcPr>
            <w:tcW w:w="1716" w:type="dxa"/>
            <w:tcBorders>
              <w:left w:val="single" w:color="000000" w:sz="4" w:space="0"/>
              <w:bottom w:val="single" w:color="000000" w:sz="4" w:space="0"/>
            </w:tcBorders>
            <w:vAlign w:val="center"/>
          </w:tcPr>
          <w:p>
            <w:pPr>
              <w:jc w:val="right"/>
              <w:rPr>
                <w:rFonts w:hint="eastAsia" w:ascii="仿宋" w:hAnsi="仿宋" w:eastAsia="仿宋" w:cs="仿宋"/>
                <w:sz w:val="20"/>
                <w:szCs w:val="20"/>
              </w:rPr>
            </w:pPr>
            <w:r>
              <w:rPr>
                <w:rFonts w:hint="eastAsia" w:ascii="仿宋" w:hAnsi="仿宋" w:eastAsia="仿宋" w:cs="仿宋"/>
                <w:sz w:val="20"/>
                <w:szCs w:val="20"/>
              </w:rPr>
              <w:t>6,214.56</w:t>
            </w:r>
          </w:p>
        </w:tc>
        <w:tc>
          <w:tcPr>
            <w:tcW w:w="1728" w:type="dxa"/>
            <w:tcBorders>
              <w:left w:val="single" w:color="000000" w:sz="4" w:space="0"/>
              <w:bottom w:val="single" w:color="000000" w:sz="4" w:space="0"/>
            </w:tcBorders>
            <w:vAlign w:val="center"/>
          </w:tcPr>
          <w:p>
            <w:pPr>
              <w:jc w:val="right"/>
              <w:rPr>
                <w:rFonts w:hint="eastAsia" w:ascii="仿宋" w:hAnsi="仿宋" w:eastAsia="仿宋" w:cs="仿宋"/>
                <w:sz w:val="20"/>
                <w:szCs w:val="20"/>
              </w:rPr>
            </w:pPr>
            <w:r>
              <w:rPr>
                <w:rFonts w:hint="eastAsia" w:ascii="仿宋" w:hAnsi="仿宋" w:eastAsia="仿宋" w:cs="仿宋"/>
                <w:sz w:val="20"/>
                <w:szCs w:val="20"/>
              </w:rPr>
              <w:t>6,214.56</w:t>
            </w:r>
          </w:p>
        </w:tc>
        <w:tc>
          <w:tcPr>
            <w:tcW w:w="1686" w:type="dxa"/>
            <w:tcBorders>
              <w:left w:val="single" w:color="000000" w:sz="4" w:space="0"/>
              <w:bottom w:val="single" w:color="000000" w:sz="4" w:space="0"/>
            </w:tcBorders>
            <w:vAlign w:val="center"/>
          </w:tcPr>
          <w:p>
            <w:pPr>
              <w:jc w:val="right"/>
              <w:rPr>
                <w:rFonts w:hint="eastAsia" w:ascii="仿宋" w:hAnsi="仿宋" w:eastAsia="仿宋" w:cs="仿宋"/>
                <w:sz w:val="20"/>
                <w:szCs w:val="20"/>
              </w:rPr>
            </w:pPr>
          </w:p>
        </w:tc>
        <w:tc>
          <w:tcPr>
            <w:tcW w:w="1503" w:type="dxa"/>
            <w:tcBorders>
              <w:left w:val="single" w:color="000000" w:sz="4" w:space="0"/>
              <w:bottom w:val="single" w:color="000000" w:sz="4" w:space="0"/>
            </w:tcBorders>
            <w:vAlign w:val="center"/>
          </w:tcPr>
          <w:p>
            <w:pPr>
              <w:jc w:val="right"/>
              <w:rPr>
                <w:rFonts w:hint="eastAsia" w:ascii="仿宋" w:hAnsi="仿宋" w:eastAsia="仿宋" w:cs="仿宋"/>
                <w:sz w:val="20"/>
                <w:szCs w:val="20"/>
              </w:rPr>
            </w:pPr>
          </w:p>
        </w:tc>
        <w:tc>
          <w:tcPr>
            <w:tcW w:w="1704" w:type="dxa"/>
            <w:tcBorders>
              <w:left w:val="single" w:color="000000" w:sz="4" w:space="0"/>
              <w:bottom w:val="single" w:color="000000" w:sz="4" w:space="0"/>
            </w:tcBorders>
            <w:vAlign w:val="center"/>
          </w:tcPr>
          <w:p>
            <w:pPr>
              <w:jc w:val="right"/>
              <w:rPr>
                <w:rFonts w:hint="eastAsia" w:ascii="仿宋" w:hAnsi="仿宋" w:eastAsia="仿宋" w:cs="仿宋"/>
                <w:sz w:val="20"/>
                <w:szCs w:val="20"/>
              </w:rPr>
            </w:pPr>
          </w:p>
        </w:tc>
        <w:tc>
          <w:tcPr>
            <w:tcW w:w="1263" w:type="dxa"/>
            <w:tcBorders>
              <w:left w:val="single" w:color="000000" w:sz="4" w:space="0"/>
              <w:bottom w:val="single" w:color="000000" w:sz="4" w:space="0"/>
            </w:tcBorders>
            <w:vAlign w:val="center"/>
          </w:tcPr>
          <w:p>
            <w:pPr>
              <w:jc w:val="right"/>
              <w:rPr>
                <w:rFonts w:hint="eastAsia" w:ascii="仿宋" w:hAnsi="仿宋" w:eastAsia="仿宋" w:cs="仿宋"/>
                <w:sz w:val="20"/>
                <w:szCs w:val="20"/>
              </w:rPr>
            </w:pPr>
          </w:p>
        </w:tc>
        <w:tc>
          <w:tcPr>
            <w:tcW w:w="1375" w:type="dxa"/>
            <w:tcBorders>
              <w:left w:val="single" w:color="000000" w:sz="4" w:space="0"/>
              <w:bottom w:val="single" w:color="000000" w:sz="4" w:space="0"/>
            </w:tcBorders>
            <w:vAlign w:val="center"/>
          </w:tcPr>
          <w:p>
            <w:pPr>
              <w:jc w:val="right"/>
              <w:rPr>
                <w:rFonts w:hint="eastAsia" w:ascii="仿宋" w:hAnsi="仿宋" w:eastAsia="仿宋" w:cs="仿宋"/>
                <w:sz w:val="20"/>
                <w:szCs w:val="20"/>
              </w:rPr>
            </w:pPr>
          </w:p>
        </w:tc>
        <w:tc>
          <w:tcPr>
            <w:tcW w:w="1328" w:type="dxa"/>
            <w:tcBorders>
              <w:left w:val="single" w:color="000000" w:sz="4" w:space="0"/>
              <w:bottom w:val="single" w:color="000000" w:sz="4" w:space="0"/>
              <w:right w:val="single" w:color="000000" w:sz="4" w:space="0"/>
            </w:tcBorders>
            <w:vAlign w:val="center"/>
          </w:tcPr>
          <w:p>
            <w:pPr>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一般公共服务支出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0.80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0.80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20131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党委办公厅（室）及相关机构事务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0.80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0.80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2013102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一般行政管理事务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0.80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0.80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204</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公共安全支出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4,558.14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4,558.14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20404</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检察</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4,555.14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4,555.14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2040401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行政运行</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3,288.05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3,288.05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2040402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一般行政管理事务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268.45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268.45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2040410</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检察监督</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835.31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835.31</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2040499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其他检察支出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163.32</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163.32</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20499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其他公共安全支出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3.00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3.00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2049999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其他公共安全支出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3.00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3.00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518.49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518.49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行政事业单位养老支出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518.49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518.49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2080501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行政单位离退休</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74.49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74.49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2080505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296.00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296.00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2080506</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148.00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148.00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210</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卫生健康支出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129.50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129.50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21011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行政事业单位医疗</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129.50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129.50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2101101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行政单位医疗</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128.37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128.37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2101102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事业单位医疗</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1.13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1.13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1,007.63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1,007.63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1,007.63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1,007.63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267.89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267.89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739.48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739.48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2210203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购房补贴</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0.26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0.26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bl>
    <w:p>
      <w:pPr>
        <w:spacing w:before="66"/>
        <w:jc w:val="both"/>
        <w:rPr>
          <w:rFonts w:hint="eastAsia" w:ascii="仿宋" w:hAnsi="仿宋" w:eastAsia="仿宋" w:cs="仿宋"/>
        </w:rPr>
      </w:pPr>
      <w:r>
        <w:rPr>
          <w:rFonts w:hint="eastAsia" w:ascii="仿宋" w:hAnsi="仿宋" w:eastAsia="仿宋" w:cs="仿宋"/>
          <w:color w:val="000000"/>
        </w:rPr>
        <w:t>注：</w:t>
      </w:r>
      <w:r>
        <w:rPr>
          <w:rFonts w:hint="eastAsia" w:ascii="仿宋" w:hAnsi="仿宋" w:eastAsia="仿宋" w:cs="仿宋"/>
        </w:rPr>
        <w:t>本表反映本年度取得的各项收入情况。本表金额单位转换时可能存在尾数误差。</w:t>
      </w:r>
    </w:p>
    <w:p>
      <w:pPr>
        <w:spacing w:before="66"/>
        <w:ind w:left="57" w:firstLine="220" w:firstLineChars="100"/>
        <w:jc w:val="both"/>
        <w:rPr>
          <w:rFonts w:hint="eastAsia" w:ascii="仿宋" w:hAnsi="仿宋" w:eastAsia="仿宋" w:cs="仿宋"/>
        </w:rPr>
        <w:sectPr>
          <w:footerReference r:id="rId8" w:type="default"/>
          <w:pgSz w:w="16838" w:h="11906" w:orient="landscape"/>
          <w:pgMar w:top="720" w:right="113" w:bottom="720" w:left="113" w:header="170" w:footer="280" w:gutter="0"/>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tblPrEx>
          <w:tblCellMar>
            <w:top w:w="55" w:type="dxa"/>
            <w:left w:w="55" w:type="dxa"/>
            <w:bottom w:w="55" w:type="dxa"/>
            <w:right w:w="55" w:type="dxa"/>
          </w:tblCellMar>
        </w:tblPrEx>
        <w:trPr>
          <w:trHeight w:val="532" w:hRule="atLeast"/>
        </w:trPr>
        <w:tc>
          <w:tcPr>
            <w:tcW w:w="15689" w:type="dxa"/>
            <w:gridSpan w:val="8"/>
            <w:vAlign w:val="center"/>
          </w:tcPr>
          <w:p>
            <w:pPr>
              <w:pStyle w:val="5"/>
              <w:rPr>
                <w:rFonts w:hint="eastAsia" w:ascii="仿宋" w:hAnsi="仿宋" w:eastAsia="仿宋" w:cs="仿宋"/>
                <w:b/>
                <w:bCs/>
                <w:sz w:val="44"/>
                <w:szCs w:val="44"/>
              </w:rPr>
            </w:pPr>
            <w:r>
              <w:rPr>
                <w:rFonts w:hint="eastAsia" w:ascii="宋体" w:hAnsi="宋体" w:eastAsia="宋体" w:cs="宋体"/>
                <w:b/>
                <w:bCs/>
                <w:color w:val="000000"/>
                <w:lang w:eastAsia="ar-SA"/>
              </w:rPr>
              <w:t>支出决算表</w:t>
            </w:r>
          </w:p>
        </w:tc>
      </w:tr>
      <w:tr>
        <w:tblPrEx>
          <w:tblCellMar>
            <w:top w:w="55" w:type="dxa"/>
            <w:left w:w="55" w:type="dxa"/>
            <w:bottom w:w="55" w:type="dxa"/>
            <w:right w:w="55" w:type="dxa"/>
          </w:tblCellMar>
        </w:tblPrEx>
        <w:trPr>
          <w:trHeight w:val="227" w:hRule="atLeast"/>
        </w:trPr>
        <w:tc>
          <w:tcPr>
            <w:tcW w:w="5115" w:type="dxa"/>
            <w:gridSpan w:val="2"/>
            <w:vAlign w:val="center"/>
          </w:tcPr>
          <w:p>
            <w:pPr>
              <w:pStyle w:val="22"/>
              <w:jc w:val="center"/>
              <w:rPr>
                <w:rFonts w:hint="eastAsia" w:ascii="仿宋" w:hAnsi="仿宋" w:eastAsia="仿宋" w:cs="仿宋"/>
              </w:rPr>
            </w:pPr>
          </w:p>
        </w:tc>
        <w:tc>
          <w:tcPr>
            <w:tcW w:w="2164" w:type="dxa"/>
            <w:vAlign w:val="center"/>
          </w:tcPr>
          <w:p>
            <w:pPr>
              <w:pStyle w:val="22"/>
              <w:jc w:val="center"/>
              <w:rPr>
                <w:rFonts w:hint="eastAsia" w:ascii="仿宋" w:hAnsi="仿宋" w:eastAsia="仿宋" w:cs="仿宋"/>
                <w:sz w:val="20"/>
              </w:rPr>
            </w:pPr>
          </w:p>
        </w:tc>
        <w:tc>
          <w:tcPr>
            <w:tcW w:w="1897" w:type="dxa"/>
            <w:vAlign w:val="center"/>
          </w:tcPr>
          <w:p>
            <w:pPr>
              <w:pStyle w:val="22"/>
              <w:jc w:val="center"/>
              <w:rPr>
                <w:rFonts w:hint="eastAsia" w:ascii="仿宋" w:hAnsi="仿宋" w:eastAsia="仿宋" w:cs="仿宋"/>
                <w:sz w:val="20"/>
              </w:rPr>
            </w:pPr>
          </w:p>
        </w:tc>
        <w:tc>
          <w:tcPr>
            <w:tcW w:w="1739" w:type="dxa"/>
            <w:vAlign w:val="center"/>
          </w:tcPr>
          <w:p>
            <w:pPr>
              <w:pStyle w:val="22"/>
              <w:jc w:val="center"/>
              <w:rPr>
                <w:rFonts w:hint="eastAsia" w:ascii="仿宋" w:hAnsi="仿宋" w:eastAsia="仿宋" w:cs="仿宋"/>
                <w:sz w:val="20"/>
              </w:rPr>
            </w:pPr>
          </w:p>
        </w:tc>
        <w:tc>
          <w:tcPr>
            <w:tcW w:w="1715" w:type="dxa"/>
            <w:vAlign w:val="center"/>
          </w:tcPr>
          <w:p>
            <w:pPr>
              <w:pStyle w:val="22"/>
              <w:jc w:val="center"/>
              <w:rPr>
                <w:rFonts w:hint="eastAsia" w:ascii="仿宋" w:hAnsi="仿宋" w:eastAsia="仿宋" w:cs="仿宋"/>
                <w:sz w:val="20"/>
              </w:rPr>
            </w:pPr>
          </w:p>
        </w:tc>
        <w:tc>
          <w:tcPr>
            <w:tcW w:w="3059" w:type="dxa"/>
            <w:gridSpan w:val="2"/>
            <w:vAlign w:val="center"/>
          </w:tcPr>
          <w:p>
            <w:pPr>
              <w:pStyle w:val="22"/>
              <w:jc w:val="right"/>
              <w:rPr>
                <w:rFonts w:hint="eastAsia" w:ascii="仿宋" w:hAnsi="仿宋" w:eastAsia="仿宋" w:cs="仿宋"/>
              </w:rPr>
            </w:pPr>
            <w:r>
              <w:rPr>
                <w:rFonts w:hint="eastAsia" w:ascii="仿宋" w:hAnsi="仿宋" w:eastAsia="仿宋" w:cs="仿宋"/>
              </w:rPr>
              <w:t>公开03表</w:t>
            </w:r>
          </w:p>
        </w:tc>
      </w:tr>
      <w:tr>
        <w:tblPrEx>
          <w:tblCellMar>
            <w:top w:w="55" w:type="dxa"/>
            <w:left w:w="55" w:type="dxa"/>
            <w:bottom w:w="55" w:type="dxa"/>
            <w:right w:w="55" w:type="dxa"/>
          </w:tblCellMar>
        </w:tblPrEx>
        <w:trPr>
          <w:trHeight w:val="90" w:hRule="atLeast"/>
        </w:trPr>
        <w:tc>
          <w:tcPr>
            <w:tcW w:w="12630" w:type="dxa"/>
            <w:gridSpan w:val="6"/>
            <w:vAlign w:val="center"/>
          </w:tcPr>
          <w:p>
            <w:pPr>
              <w:pStyle w:val="22"/>
              <w:rPr>
                <w:rFonts w:hint="eastAsia" w:ascii="仿宋" w:hAnsi="仿宋" w:eastAsia="仿宋" w:cs="仿宋"/>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rPr>
              <w:t>宜兴市人民检察院</w:t>
            </w:r>
          </w:p>
        </w:tc>
        <w:tc>
          <w:tcPr>
            <w:tcW w:w="3059" w:type="dxa"/>
            <w:gridSpan w:val="2"/>
            <w:vAlign w:val="center"/>
          </w:tcPr>
          <w:p>
            <w:pPr>
              <w:pStyle w:val="22"/>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项目</w:t>
            </w:r>
          </w:p>
        </w:tc>
        <w:tc>
          <w:tcPr>
            <w:tcW w:w="2164"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本年支出合计</w:t>
            </w:r>
          </w:p>
        </w:tc>
        <w:tc>
          <w:tcPr>
            <w:tcW w:w="1897"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基本支出</w:t>
            </w:r>
          </w:p>
        </w:tc>
        <w:tc>
          <w:tcPr>
            <w:tcW w:w="1739"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项目支出</w:t>
            </w:r>
          </w:p>
        </w:tc>
        <w:tc>
          <w:tcPr>
            <w:tcW w:w="1715"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上缴上级支出</w:t>
            </w:r>
          </w:p>
        </w:tc>
        <w:tc>
          <w:tcPr>
            <w:tcW w:w="1633"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对附属单位补助支出</w:t>
            </w:r>
          </w:p>
        </w:tc>
      </w:tr>
      <w:tr>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功能分类</w:t>
            </w:r>
          </w:p>
          <w:p>
            <w:pPr>
              <w:pStyle w:val="22"/>
              <w:jc w:val="center"/>
              <w:rPr>
                <w:rFonts w:hint="eastAsia" w:ascii="仿宋" w:hAnsi="仿宋" w:eastAsia="仿宋" w:cs="仿宋"/>
              </w:rPr>
            </w:pPr>
            <w:r>
              <w:rPr>
                <w:rFonts w:hint="eastAsia" w:ascii="仿宋" w:hAnsi="仿宋" w:eastAsia="仿宋" w:cs="仿宋"/>
              </w:rPr>
              <w:t>科目编码</w:t>
            </w:r>
          </w:p>
        </w:tc>
        <w:tc>
          <w:tcPr>
            <w:tcW w:w="3927"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2164" w:type="dxa"/>
            <w:vMerge w:val="continue"/>
            <w:tcBorders>
              <w:left w:val="single" w:color="000000" w:sz="4" w:space="0"/>
              <w:bottom w:val="single" w:color="000000" w:sz="4" w:space="0"/>
            </w:tcBorders>
          </w:tcPr>
          <w:p>
            <w:pPr>
              <w:rPr>
                <w:rFonts w:hint="eastAsia" w:ascii="仿宋" w:hAnsi="仿宋" w:eastAsia="仿宋" w:cs="仿宋"/>
              </w:rPr>
            </w:pPr>
          </w:p>
        </w:tc>
        <w:tc>
          <w:tcPr>
            <w:tcW w:w="1897" w:type="dxa"/>
            <w:vMerge w:val="continue"/>
            <w:tcBorders>
              <w:left w:val="single" w:color="000000" w:sz="4" w:space="0"/>
              <w:bottom w:val="single" w:color="000000" w:sz="4" w:space="0"/>
            </w:tcBorders>
          </w:tcPr>
          <w:p>
            <w:pPr>
              <w:rPr>
                <w:rFonts w:hint="eastAsia" w:ascii="仿宋" w:hAnsi="仿宋" w:eastAsia="仿宋" w:cs="仿宋"/>
              </w:rPr>
            </w:pPr>
          </w:p>
        </w:tc>
        <w:tc>
          <w:tcPr>
            <w:tcW w:w="1739" w:type="dxa"/>
            <w:vMerge w:val="continue"/>
            <w:tcBorders>
              <w:left w:val="single" w:color="000000" w:sz="4" w:space="0"/>
              <w:bottom w:val="single" w:color="000000" w:sz="4" w:space="0"/>
            </w:tcBorders>
          </w:tcPr>
          <w:p>
            <w:pPr>
              <w:rPr>
                <w:rFonts w:hint="eastAsia" w:ascii="仿宋" w:hAnsi="仿宋" w:eastAsia="仿宋" w:cs="仿宋"/>
              </w:rPr>
            </w:pPr>
          </w:p>
        </w:tc>
        <w:tc>
          <w:tcPr>
            <w:tcW w:w="1715" w:type="dxa"/>
            <w:vMerge w:val="continue"/>
            <w:tcBorders>
              <w:left w:val="single" w:color="000000" w:sz="4" w:space="0"/>
              <w:bottom w:val="single" w:color="000000" w:sz="4" w:space="0"/>
            </w:tcBorders>
          </w:tcPr>
          <w:p>
            <w:pPr>
              <w:rPr>
                <w:rFonts w:hint="eastAsia" w:ascii="仿宋" w:hAnsi="仿宋" w:eastAsia="仿宋" w:cs="仿宋"/>
              </w:rPr>
            </w:pPr>
          </w:p>
        </w:tc>
        <w:tc>
          <w:tcPr>
            <w:tcW w:w="1633" w:type="dxa"/>
            <w:vMerge w:val="continue"/>
            <w:tcBorders>
              <w:left w:val="single" w:color="000000" w:sz="4" w:space="0"/>
              <w:bottom w:val="single" w:color="000000" w:sz="4" w:space="0"/>
            </w:tcBorders>
          </w:tcPr>
          <w:p>
            <w:pPr>
              <w:rPr>
                <w:rFonts w:hint="eastAsia" w:ascii="仿宋" w:hAnsi="仿宋" w:eastAsia="仿宋" w:cs="仿宋"/>
              </w:rPr>
            </w:pPr>
          </w:p>
        </w:tc>
        <w:tc>
          <w:tcPr>
            <w:tcW w:w="1426"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ascii="仿宋" w:hAnsi="仿宋" w:eastAsia="仿宋" w:cs="仿宋"/>
                <w:u w:color="auto"/>
              </w:rPr>
              <w:t>合计</w:t>
            </w:r>
          </w:p>
        </w:tc>
        <w:tc>
          <w:tcPr>
            <w:tcW w:w="2164" w:type="dxa"/>
            <w:tcBorders>
              <w:left w:val="single" w:color="000000" w:sz="4" w:space="0"/>
              <w:bottom w:val="single" w:color="000000" w:sz="4" w:space="0"/>
            </w:tcBorders>
            <w:vAlign w:val="center"/>
          </w:tcPr>
          <w:p>
            <w:pPr>
              <w:jc w:val="right"/>
              <w:rPr>
                <w:rFonts w:hint="eastAsia" w:ascii="仿宋" w:hAnsi="仿宋" w:eastAsia="仿宋" w:cs="仿宋"/>
                <w:sz w:val="22"/>
                <w:szCs w:val="22"/>
              </w:rPr>
            </w:pPr>
            <w:r>
              <w:rPr>
                <w:rFonts w:hint="eastAsia" w:ascii="仿宋" w:hAnsi="仿宋" w:eastAsia="仿宋" w:cs="仿宋"/>
                <w:sz w:val="22"/>
                <w:szCs w:val="22"/>
              </w:rPr>
              <w:t>6,214.56</w:t>
            </w:r>
          </w:p>
        </w:tc>
        <w:tc>
          <w:tcPr>
            <w:tcW w:w="1897" w:type="dxa"/>
            <w:tcBorders>
              <w:left w:val="single" w:color="000000" w:sz="4" w:space="0"/>
              <w:bottom w:val="single" w:color="000000" w:sz="4" w:space="0"/>
            </w:tcBorders>
            <w:vAlign w:val="center"/>
          </w:tcPr>
          <w:p>
            <w:pPr>
              <w:jc w:val="right"/>
              <w:rPr>
                <w:rFonts w:hint="eastAsia" w:ascii="仿宋" w:hAnsi="仿宋" w:eastAsia="仿宋" w:cs="仿宋"/>
                <w:sz w:val="22"/>
                <w:szCs w:val="22"/>
              </w:rPr>
            </w:pPr>
            <w:r>
              <w:rPr>
                <w:rFonts w:hint="eastAsia" w:ascii="仿宋" w:hAnsi="仿宋" w:eastAsia="仿宋" w:cs="仿宋"/>
                <w:sz w:val="22"/>
                <w:szCs w:val="22"/>
              </w:rPr>
              <w:t>4,943.67</w:t>
            </w:r>
          </w:p>
        </w:tc>
        <w:tc>
          <w:tcPr>
            <w:tcW w:w="1739" w:type="dxa"/>
            <w:tcBorders>
              <w:left w:val="single" w:color="000000" w:sz="4" w:space="0"/>
              <w:bottom w:val="single" w:color="000000" w:sz="4" w:space="0"/>
            </w:tcBorders>
            <w:vAlign w:val="center"/>
          </w:tcPr>
          <w:p>
            <w:pPr>
              <w:jc w:val="right"/>
              <w:rPr>
                <w:rFonts w:hint="eastAsia" w:ascii="仿宋" w:hAnsi="仿宋" w:eastAsia="仿宋" w:cs="仿宋"/>
                <w:sz w:val="22"/>
                <w:szCs w:val="22"/>
              </w:rPr>
            </w:pPr>
            <w:r>
              <w:rPr>
                <w:rFonts w:hint="eastAsia" w:ascii="仿宋" w:hAnsi="仿宋" w:eastAsia="仿宋" w:cs="仿宋"/>
                <w:sz w:val="22"/>
                <w:szCs w:val="22"/>
              </w:rPr>
              <w:t>1,270.89</w:t>
            </w:r>
          </w:p>
        </w:tc>
        <w:tc>
          <w:tcPr>
            <w:tcW w:w="1715" w:type="dxa"/>
            <w:tcBorders>
              <w:left w:val="single" w:color="000000" w:sz="4" w:space="0"/>
              <w:bottom w:val="single" w:color="000000" w:sz="4" w:space="0"/>
            </w:tcBorders>
            <w:vAlign w:val="center"/>
          </w:tcPr>
          <w:p>
            <w:pPr>
              <w:jc w:val="right"/>
              <w:rPr>
                <w:rFonts w:hint="eastAsia" w:ascii="仿宋" w:hAnsi="仿宋" w:eastAsia="仿宋" w:cs="仿宋"/>
                <w:sz w:val="22"/>
                <w:szCs w:val="22"/>
              </w:rPr>
            </w:pPr>
          </w:p>
        </w:tc>
        <w:tc>
          <w:tcPr>
            <w:tcW w:w="1633" w:type="dxa"/>
            <w:tcBorders>
              <w:left w:val="single" w:color="000000" w:sz="4" w:space="0"/>
              <w:bottom w:val="single" w:color="000000" w:sz="4" w:space="0"/>
            </w:tcBorders>
            <w:vAlign w:val="center"/>
          </w:tcPr>
          <w:p>
            <w:pPr>
              <w:jc w:val="right"/>
              <w:rPr>
                <w:rFonts w:hint="eastAsia" w:ascii="仿宋" w:hAnsi="仿宋" w:eastAsia="仿宋" w:cs="仿宋"/>
                <w:sz w:val="22"/>
                <w:szCs w:val="22"/>
              </w:rPr>
            </w:pPr>
          </w:p>
        </w:tc>
        <w:tc>
          <w:tcPr>
            <w:tcW w:w="1426" w:type="dxa"/>
            <w:tcBorders>
              <w:left w:val="single" w:color="000000" w:sz="4" w:space="0"/>
              <w:bottom w:val="single" w:color="000000" w:sz="4" w:space="0"/>
              <w:right w:val="single" w:color="000000" w:sz="4" w:space="0"/>
            </w:tcBorders>
            <w:vAlign w:val="center"/>
          </w:tcPr>
          <w:p>
            <w:pPr>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一般公共服务支出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0.80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0.80</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20131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党委办公厅（室）及相关机构事务</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0.80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0.80</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2013102</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一般行政管理事务</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0.80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0.80</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204</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公共安全支出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4,558.14</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3,288.05</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1,270.09</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20404</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检察</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4,555.14</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3,288.05</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1,267.09</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2040401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行政运行</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3,288.05</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3,288.05</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2040402</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一般行政管理事务</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268.45</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268.45</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2040410</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检察监督</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835.31</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835.31</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2040499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其他检察支出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163.32</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163.32</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20499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其他公共安全支出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3.00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3.00</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2049999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其他公共安全支出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3.00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3.00</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208</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社会保障和就业支出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518.49</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518.49</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20805</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行政事业单位养老支出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518.49</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518.49</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2080501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行政单位离退休</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74.49</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74.49</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2080505</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机关事业单位基本养老保险缴费支出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296.00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296.00</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2080506</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机关事业单位职业年金缴费支出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148.00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148.00</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210</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卫生健康支出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129.50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129.50</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21011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行政事业单位医疗</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129.50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129.50</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2101101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行政单位医疗</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128.37</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128.37</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2101102</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事业单位医疗</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1.13</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1.13</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221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住房保障支出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1,007.63</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1,007.63</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22102</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1,007.63</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1,007.63</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2210201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267.89</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267.89</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2210202</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739.48</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739.48</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2210203</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购房补贴</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0.26</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0.26</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bl>
    <w:p>
      <w:pPr>
        <w:spacing w:before="59"/>
        <w:rPr>
          <w:rFonts w:hint="eastAsia" w:ascii="仿宋" w:hAnsi="仿宋" w:eastAsia="仿宋" w:cs="仿宋"/>
        </w:rPr>
      </w:pPr>
      <w:r>
        <w:rPr>
          <w:rFonts w:hint="eastAsia" w:ascii="仿宋" w:hAnsi="仿宋" w:eastAsia="仿宋" w:cs="仿宋"/>
        </w:rPr>
        <w:t>注：本表反映本年度各项支出情况。本表金额单位转换时可能存在尾数误差。</w:t>
      </w:r>
    </w:p>
    <w:p>
      <w:pPr>
        <w:spacing w:before="59"/>
        <w:ind w:left="57"/>
        <w:rPr>
          <w:rFonts w:hint="eastAsia" w:ascii="仿宋" w:hAnsi="仿宋" w:eastAsia="仿宋" w:cs="仿宋"/>
        </w:rPr>
        <w:sectPr>
          <w:footerReference r:id="rId9" w:type="default"/>
          <w:pgSz w:w="16838" w:h="11906" w:orient="landscape"/>
          <w:pgMar w:top="720" w:right="567" w:bottom="720" w:left="567" w:header="170" w:footer="280" w:gutter="0"/>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tblPrEx>
          <w:tblCellMar>
            <w:top w:w="55" w:type="dxa"/>
            <w:left w:w="55" w:type="dxa"/>
            <w:bottom w:w="55" w:type="dxa"/>
            <w:right w:w="55" w:type="dxa"/>
          </w:tblCellMar>
        </w:tblPrEx>
        <w:trPr>
          <w:trHeight w:val="319" w:hRule="atLeast"/>
        </w:trPr>
        <w:tc>
          <w:tcPr>
            <w:tcW w:w="15372" w:type="dxa"/>
            <w:gridSpan w:val="10"/>
          </w:tcPr>
          <w:p>
            <w:pPr>
              <w:pStyle w:val="22"/>
              <w:jc w:val="center"/>
              <w:rPr>
                <w:rFonts w:hint="eastAsia" w:ascii="仿宋" w:hAnsi="仿宋" w:eastAsia="仿宋" w:cs="仿宋"/>
                <w:b/>
                <w:bCs/>
                <w:sz w:val="44"/>
                <w:szCs w:val="44"/>
              </w:rPr>
            </w:pPr>
            <w:r>
              <w:rPr>
                <w:rFonts w:hint="eastAsia"/>
                <w:b/>
                <w:bCs/>
                <w:color w:val="000000"/>
                <w:sz w:val="36"/>
                <w:szCs w:val="36"/>
                <w:lang w:eastAsia="ar-SA"/>
              </w:rPr>
              <w:t>财政拨款收入支出决算总表</w:t>
            </w:r>
          </w:p>
        </w:tc>
      </w:tr>
      <w:tr>
        <w:tblPrEx>
          <w:tblCellMar>
            <w:top w:w="55" w:type="dxa"/>
            <w:left w:w="55" w:type="dxa"/>
            <w:bottom w:w="55" w:type="dxa"/>
            <w:right w:w="55" w:type="dxa"/>
          </w:tblCellMar>
        </w:tblPrEx>
        <w:trPr>
          <w:trHeight w:val="319" w:hRule="atLeast"/>
        </w:trPr>
        <w:tc>
          <w:tcPr>
            <w:tcW w:w="5562" w:type="dxa"/>
            <w:gridSpan w:val="2"/>
          </w:tcPr>
          <w:p>
            <w:pPr>
              <w:pStyle w:val="22"/>
              <w:rPr>
                <w:rFonts w:hint="eastAsia" w:ascii="仿宋" w:hAnsi="仿宋" w:eastAsia="仿宋" w:cs="仿宋"/>
                <w:sz w:val="20"/>
              </w:rPr>
            </w:pPr>
          </w:p>
        </w:tc>
        <w:tc>
          <w:tcPr>
            <w:tcW w:w="847" w:type="dxa"/>
          </w:tcPr>
          <w:p>
            <w:pPr>
              <w:pStyle w:val="22"/>
              <w:rPr>
                <w:rFonts w:hint="eastAsia" w:ascii="仿宋" w:hAnsi="仿宋" w:eastAsia="仿宋" w:cs="仿宋"/>
                <w:sz w:val="20"/>
              </w:rPr>
            </w:pPr>
          </w:p>
        </w:tc>
        <w:tc>
          <w:tcPr>
            <w:tcW w:w="1913" w:type="dxa"/>
          </w:tcPr>
          <w:p>
            <w:pPr>
              <w:pStyle w:val="22"/>
              <w:rPr>
                <w:rFonts w:hint="eastAsia" w:ascii="仿宋" w:hAnsi="仿宋" w:eastAsia="仿宋" w:cs="仿宋"/>
                <w:sz w:val="20"/>
              </w:rPr>
            </w:pPr>
          </w:p>
        </w:tc>
        <w:tc>
          <w:tcPr>
            <w:tcW w:w="2635" w:type="dxa"/>
            <w:gridSpan w:val="2"/>
          </w:tcPr>
          <w:p>
            <w:pPr>
              <w:pStyle w:val="22"/>
              <w:rPr>
                <w:rFonts w:hint="eastAsia" w:ascii="仿宋" w:hAnsi="仿宋" w:eastAsia="仿宋" w:cs="仿宋"/>
                <w:sz w:val="20"/>
              </w:rPr>
            </w:pPr>
          </w:p>
        </w:tc>
        <w:tc>
          <w:tcPr>
            <w:tcW w:w="1194" w:type="dxa"/>
          </w:tcPr>
          <w:p>
            <w:pPr>
              <w:pStyle w:val="22"/>
              <w:rPr>
                <w:rFonts w:hint="eastAsia" w:ascii="仿宋" w:hAnsi="仿宋" w:eastAsia="仿宋" w:cs="仿宋"/>
                <w:sz w:val="20"/>
              </w:rPr>
            </w:pPr>
          </w:p>
        </w:tc>
        <w:tc>
          <w:tcPr>
            <w:tcW w:w="3221" w:type="dxa"/>
            <w:gridSpan w:val="3"/>
            <w:vAlign w:val="center"/>
          </w:tcPr>
          <w:p>
            <w:pPr>
              <w:pStyle w:val="22"/>
              <w:jc w:val="right"/>
              <w:rPr>
                <w:rFonts w:hint="eastAsia" w:ascii="仿宋" w:hAnsi="仿宋" w:eastAsia="仿宋" w:cs="仿宋"/>
              </w:rPr>
            </w:pPr>
            <w:r>
              <w:rPr>
                <w:rFonts w:hint="eastAsia" w:ascii="仿宋" w:hAnsi="仿宋" w:eastAsia="仿宋" w:cs="仿宋"/>
              </w:rPr>
              <w:t>公开04表</w:t>
            </w:r>
          </w:p>
        </w:tc>
      </w:tr>
      <w:tr>
        <w:tblPrEx>
          <w:tblCellMar>
            <w:top w:w="55" w:type="dxa"/>
            <w:left w:w="55" w:type="dxa"/>
            <w:bottom w:w="55" w:type="dxa"/>
            <w:right w:w="55" w:type="dxa"/>
          </w:tblCellMar>
        </w:tblPrEx>
        <w:trPr>
          <w:trHeight w:val="319" w:hRule="atLeast"/>
        </w:trPr>
        <w:tc>
          <w:tcPr>
            <w:tcW w:w="12151" w:type="dxa"/>
            <w:gridSpan w:val="7"/>
          </w:tcPr>
          <w:p>
            <w:pPr>
              <w:pStyle w:val="22"/>
              <w:rPr>
                <w:rFonts w:hint="eastAsia" w:ascii="仿宋" w:hAnsi="仿宋" w:eastAsia="仿宋" w:cs="仿宋"/>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rPr>
              <w:t>宜兴市人民检察院</w:t>
            </w:r>
          </w:p>
        </w:tc>
        <w:tc>
          <w:tcPr>
            <w:tcW w:w="3221" w:type="dxa"/>
            <w:gridSpan w:val="3"/>
            <w:vAlign w:val="center"/>
          </w:tcPr>
          <w:p>
            <w:pPr>
              <w:pStyle w:val="22"/>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pPr>
              <w:pStyle w:val="22"/>
              <w:jc w:val="center"/>
              <w:rPr>
                <w:rFonts w:hint="eastAsia" w:ascii="仿宋" w:hAnsi="仿宋" w:eastAsia="仿宋" w:cs="仿宋"/>
              </w:rPr>
            </w:pPr>
            <w:r>
              <w:rPr>
                <w:rFonts w:hint="eastAsia" w:ascii="仿宋" w:hAnsi="仿宋" w:eastAsia="仿宋" w:cs="仿宋"/>
              </w:rPr>
              <w:t>收</w:t>
            </w:r>
            <w:r>
              <w:rPr>
                <w:rFonts w:hint="eastAsia" w:ascii="仿宋" w:hAnsi="仿宋" w:eastAsia="仿宋" w:cs="仿宋"/>
              </w:rPr>
              <w:tab/>
            </w:r>
            <w:r>
              <w:rPr>
                <w:rFonts w:hint="eastAsia" w:ascii="仿宋" w:hAnsi="仿宋" w:eastAsia="仿宋" w:cs="仿宋"/>
              </w:rPr>
              <w:t>入</w:t>
            </w:r>
          </w:p>
        </w:tc>
        <w:tc>
          <w:tcPr>
            <w:tcW w:w="9810" w:type="dxa"/>
            <w:gridSpan w:val="8"/>
            <w:tcBorders>
              <w:top w:val="single" w:color="000000" w:sz="4" w:space="0"/>
              <w:left w:val="single" w:color="000000" w:sz="4" w:space="0"/>
              <w:bottom w:val="single" w:color="000000" w:sz="4" w:space="0"/>
              <w:right w:val="single" w:color="000000" w:sz="4" w:space="0"/>
            </w:tcBorders>
          </w:tcPr>
          <w:p>
            <w:pPr>
              <w:pStyle w:val="22"/>
              <w:jc w:val="center"/>
              <w:rPr>
                <w:rFonts w:hint="eastAsia" w:ascii="仿宋" w:hAnsi="仿宋" w:eastAsia="仿宋" w:cs="仿宋"/>
              </w:rPr>
            </w:pPr>
            <w:r>
              <w:rPr>
                <w:rFonts w:hint="eastAsia" w:ascii="仿宋" w:hAnsi="仿宋" w:eastAsia="仿宋" w:cs="仿宋"/>
              </w:rPr>
              <w:t>支</w:t>
            </w:r>
            <w:r>
              <w:rPr>
                <w:rFonts w:hint="eastAsia" w:ascii="仿宋" w:hAnsi="仿宋" w:eastAsia="仿宋" w:cs="仿宋"/>
              </w:rPr>
              <w:tab/>
            </w:r>
            <w:r>
              <w:rPr>
                <w:rFonts w:hint="eastAsia" w:ascii="仿宋" w:hAnsi="仿宋" w:eastAsia="仿宋" w:cs="仿宋"/>
              </w:rPr>
              <w:t>出</w:t>
            </w:r>
          </w:p>
        </w:tc>
      </w:tr>
      <w:tr>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837" w:type="dxa"/>
            <w:vMerge w:val="restart"/>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决算数</w:t>
            </w:r>
          </w:p>
        </w:tc>
        <w:tc>
          <w:tcPr>
            <w:tcW w:w="3667" w:type="dxa"/>
            <w:gridSpan w:val="3"/>
            <w:vMerge w:val="restart"/>
            <w:tcBorders>
              <w:left w:val="single" w:color="000000" w:sz="4" w:space="0"/>
              <w:bottom w:val="single" w:color="000000" w:sz="4" w:space="0"/>
            </w:tcBorders>
            <w:vAlign w:val="center"/>
          </w:tcPr>
          <w:p>
            <w:pPr>
              <w:jc w:val="center"/>
              <w:rPr>
                <w:rFonts w:hint="eastAsia" w:ascii="仿宋" w:hAnsi="仿宋" w:eastAsia="仿宋" w:cs="仿宋"/>
              </w:rPr>
            </w:pPr>
            <w:r>
              <w:rPr>
                <w:rFonts w:hint="eastAsia" w:ascii="仿宋" w:hAnsi="仿宋" w:eastAsia="仿宋" w:cs="仿宋"/>
              </w:rPr>
              <w:t>按功能分类</w:t>
            </w:r>
          </w:p>
        </w:tc>
        <w:tc>
          <w:tcPr>
            <w:tcW w:w="6143" w:type="dxa"/>
            <w:gridSpan w:val="5"/>
            <w:tcBorders>
              <w:left w:val="single" w:color="000000" w:sz="4" w:space="0"/>
              <w:bottom w:val="single" w:color="000000" w:sz="4" w:space="0"/>
              <w:right w:val="single" w:color="000000" w:sz="4" w:space="0"/>
            </w:tcBorders>
            <w:vAlign w:val="center"/>
          </w:tcPr>
          <w:p>
            <w:pPr>
              <w:jc w:val="center"/>
              <w:rPr>
                <w:rFonts w:hint="eastAsia" w:ascii="仿宋" w:hAnsi="仿宋" w:eastAsia="仿宋" w:cs="仿宋"/>
              </w:rPr>
            </w:pPr>
            <w:r>
              <w:rPr>
                <w:rFonts w:hint="eastAsia" w:ascii="仿宋" w:hAnsi="仿宋" w:eastAsia="仿宋" w:cs="仿宋"/>
              </w:rPr>
              <w:t>决算数</w:t>
            </w:r>
          </w:p>
        </w:tc>
      </w:tr>
      <w:tr>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pPr>
              <w:pStyle w:val="22"/>
              <w:rPr>
                <w:rFonts w:hint="eastAsia" w:ascii="仿宋" w:hAnsi="仿宋" w:eastAsia="仿宋" w:cs="仿宋"/>
              </w:rPr>
            </w:pPr>
          </w:p>
        </w:tc>
        <w:tc>
          <w:tcPr>
            <w:tcW w:w="1837" w:type="dxa"/>
            <w:vMerge w:val="continue"/>
            <w:tcBorders>
              <w:left w:val="single" w:color="000000" w:sz="4" w:space="0"/>
              <w:bottom w:val="single" w:color="000000" w:sz="4" w:space="0"/>
            </w:tcBorders>
          </w:tcPr>
          <w:p>
            <w:pPr>
              <w:pStyle w:val="22"/>
              <w:rPr>
                <w:rFonts w:hint="eastAsia" w:ascii="仿宋" w:hAnsi="仿宋" w:eastAsia="仿宋" w:cs="仿宋"/>
              </w:rPr>
            </w:pPr>
          </w:p>
        </w:tc>
        <w:tc>
          <w:tcPr>
            <w:tcW w:w="3667" w:type="dxa"/>
            <w:gridSpan w:val="3"/>
            <w:vMerge w:val="continue"/>
            <w:tcBorders>
              <w:left w:val="single" w:color="000000" w:sz="4" w:space="0"/>
              <w:bottom w:val="single" w:color="000000" w:sz="4" w:space="0"/>
            </w:tcBorders>
          </w:tcPr>
          <w:p>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ascii="仿宋" w:hAnsi="仿宋" w:eastAsia="仿宋" w:cs="仿宋"/>
                <w:u w:color="auto"/>
              </w:rPr>
              <w:t>小计</w:t>
            </w:r>
          </w:p>
        </w:tc>
        <w:tc>
          <w:tcPr>
            <w:tcW w:w="1415"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一般公共预算财政拨款</w:t>
            </w:r>
          </w:p>
        </w:tc>
        <w:tc>
          <w:tcPr>
            <w:tcW w:w="1500"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政府性基金预算财政拨款</w:t>
            </w:r>
          </w:p>
        </w:tc>
        <w:tc>
          <w:tcPr>
            <w:tcW w:w="1500"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国有资本经营预算财政拨款</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6,214.56</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0.80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0.80</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4,558.14</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4,558.14</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518.49</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518.49</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129.50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129.50</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1,007.63</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1,007.63</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b/>
                <w:bCs/>
              </w:rPr>
              <w:t>本年收入合计</w:t>
            </w:r>
          </w:p>
        </w:tc>
        <w:tc>
          <w:tcPr>
            <w:tcW w:w="1837" w:type="dxa"/>
            <w:tcBorders>
              <w:top w:val="single" w:color="000000" w:sz="4" w:space="0"/>
              <w:left w:val="single" w:color="000000" w:sz="4" w:space="0"/>
              <w:bottom w:val="single" w:color="000000" w:sz="4" w:space="0"/>
            </w:tcBorders>
            <w:vAlign w:val="center"/>
          </w:tcPr>
          <w:p>
            <w:pPr>
              <w:jc w:val="right"/>
              <w:rPr>
                <w:rFonts w:hint="eastAsia" w:ascii="仿宋" w:hAnsi="仿宋" w:eastAsia="仿宋" w:cs="仿宋"/>
                <w:sz w:val="22"/>
                <w:szCs w:val="22"/>
              </w:rPr>
            </w:pPr>
            <w:r>
              <w:rPr>
                <w:rFonts w:hint="eastAsia" w:ascii="仿宋" w:hAnsi="仿宋" w:eastAsia="仿宋" w:cs="仿宋"/>
                <w:sz w:val="22"/>
                <w:szCs w:val="22"/>
              </w:rPr>
              <w:t>6,214.56</w:t>
            </w:r>
          </w:p>
        </w:tc>
        <w:tc>
          <w:tcPr>
            <w:tcW w:w="3667" w:type="dxa"/>
            <w:gridSpan w:val="3"/>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b/>
                <w:bCs/>
              </w:rPr>
              <w:t>本年支出合计</w:t>
            </w:r>
          </w:p>
        </w:tc>
        <w:tc>
          <w:tcPr>
            <w:tcW w:w="1728" w:type="dxa"/>
            <w:tcBorders>
              <w:top w:val="single" w:color="000000" w:sz="4" w:space="0"/>
              <w:left w:val="single" w:color="000000" w:sz="4" w:space="0"/>
              <w:bottom w:val="single" w:color="000000" w:sz="4" w:space="0"/>
            </w:tcBorders>
            <w:vAlign w:val="center"/>
          </w:tcPr>
          <w:p>
            <w:pPr>
              <w:jc w:val="right"/>
              <w:rPr>
                <w:rFonts w:hint="eastAsia" w:ascii="仿宋" w:hAnsi="仿宋" w:eastAsia="仿宋" w:cs="仿宋"/>
                <w:sz w:val="22"/>
                <w:szCs w:val="22"/>
              </w:rPr>
            </w:pPr>
            <w:r>
              <w:rPr>
                <w:rFonts w:hint="eastAsia" w:ascii="仿宋" w:hAnsi="仿宋" w:eastAsia="仿宋" w:cs="仿宋"/>
                <w:sz w:val="22"/>
                <w:szCs w:val="22"/>
              </w:rPr>
              <w:t>6,214.56</w:t>
            </w:r>
          </w:p>
        </w:tc>
        <w:tc>
          <w:tcPr>
            <w:tcW w:w="1415" w:type="dxa"/>
            <w:gridSpan w:val="2"/>
            <w:tcBorders>
              <w:top w:val="single" w:color="000000" w:sz="4" w:space="0"/>
              <w:left w:val="single" w:color="000000" w:sz="4" w:space="0"/>
              <w:bottom w:val="single" w:color="000000" w:sz="4" w:space="0"/>
            </w:tcBorders>
            <w:vAlign w:val="center"/>
          </w:tcPr>
          <w:p>
            <w:pPr>
              <w:jc w:val="right"/>
              <w:rPr>
                <w:rFonts w:hint="eastAsia" w:ascii="仿宋" w:hAnsi="仿宋" w:eastAsia="仿宋" w:cs="仿宋"/>
                <w:sz w:val="22"/>
                <w:szCs w:val="22"/>
              </w:rPr>
            </w:pPr>
            <w:r>
              <w:rPr>
                <w:rFonts w:hint="eastAsia" w:ascii="仿宋" w:hAnsi="仿宋" w:eastAsia="仿宋" w:cs="仿宋"/>
                <w:sz w:val="22"/>
                <w:szCs w:val="22"/>
              </w:rPr>
              <w:t>6,214.56</w:t>
            </w:r>
          </w:p>
        </w:tc>
        <w:tc>
          <w:tcPr>
            <w:tcW w:w="1500" w:type="dxa"/>
            <w:tcBorders>
              <w:top w:val="single" w:color="000000" w:sz="4" w:space="0"/>
              <w:left w:val="single" w:color="000000" w:sz="4" w:space="0"/>
              <w:bottom w:val="single" w:color="000000" w:sz="4" w:space="0"/>
            </w:tcBorders>
            <w:vAlign w:val="center"/>
          </w:tcPr>
          <w:p>
            <w:pPr>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年初财政拨款结转和结余</w:t>
            </w:r>
          </w:p>
        </w:tc>
        <w:tc>
          <w:tcPr>
            <w:tcW w:w="1837" w:type="dxa"/>
            <w:tcBorders>
              <w:left w:val="single" w:color="000000" w:sz="4" w:space="0"/>
              <w:bottom w:val="single" w:color="000000" w:sz="4" w:space="0"/>
            </w:tcBorders>
            <w:vAlign w:val="center"/>
          </w:tcPr>
          <w:p>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年末财政拨款结转和结余</w:t>
            </w:r>
          </w:p>
        </w:tc>
        <w:tc>
          <w:tcPr>
            <w:tcW w:w="1728" w:type="dxa"/>
            <w:tcBorders>
              <w:left w:val="single" w:color="000000" w:sz="4" w:space="0"/>
              <w:bottom w:val="single" w:color="000000" w:sz="4" w:space="0"/>
            </w:tcBorders>
            <w:vAlign w:val="center"/>
          </w:tcPr>
          <w:p>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一、一般公共预算财政拨款</w:t>
            </w:r>
          </w:p>
        </w:tc>
        <w:tc>
          <w:tcPr>
            <w:tcW w:w="1837" w:type="dxa"/>
            <w:tcBorders>
              <w:left w:val="single" w:color="000000" w:sz="4" w:space="0"/>
              <w:bottom w:val="single" w:color="000000" w:sz="4" w:space="0"/>
            </w:tcBorders>
            <w:vAlign w:val="center"/>
          </w:tcPr>
          <w:p>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二、政府性基金预算财政拨款</w:t>
            </w:r>
          </w:p>
        </w:tc>
        <w:tc>
          <w:tcPr>
            <w:tcW w:w="1837" w:type="dxa"/>
            <w:tcBorders>
              <w:left w:val="single" w:color="000000" w:sz="4" w:space="0"/>
              <w:bottom w:val="single" w:color="000000" w:sz="4" w:space="0"/>
            </w:tcBorders>
            <w:vAlign w:val="center"/>
          </w:tcPr>
          <w:p>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三、国有资本经营预算财政拨款</w:t>
            </w:r>
          </w:p>
        </w:tc>
        <w:tc>
          <w:tcPr>
            <w:tcW w:w="1837" w:type="dxa"/>
            <w:tcBorders>
              <w:left w:val="single" w:color="000000" w:sz="4" w:space="0"/>
              <w:bottom w:val="single" w:color="000000" w:sz="4" w:space="0"/>
            </w:tcBorders>
            <w:vAlign w:val="center"/>
          </w:tcPr>
          <w:p>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b/>
                <w:bCs/>
              </w:rPr>
              <w:t>总计</w:t>
            </w:r>
          </w:p>
        </w:tc>
        <w:tc>
          <w:tcPr>
            <w:tcW w:w="1837" w:type="dxa"/>
            <w:tcBorders>
              <w:left w:val="single" w:color="000000" w:sz="4" w:space="0"/>
              <w:bottom w:val="single" w:color="000000" w:sz="4" w:space="0"/>
            </w:tcBorders>
            <w:vAlign w:val="center"/>
          </w:tcPr>
          <w:p>
            <w:pPr>
              <w:jc w:val="right"/>
              <w:rPr>
                <w:rFonts w:hint="eastAsia" w:ascii="仿宋" w:hAnsi="仿宋" w:eastAsia="仿宋" w:cs="仿宋"/>
                <w:sz w:val="22"/>
                <w:szCs w:val="22"/>
              </w:rPr>
            </w:pPr>
            <w:r>
              <w:rPr>
                <w:rFonts w:hint="eastAsia" w:ascii="仿宋" w:hAnsi="仿宋" w:eastAsia="仿宋" w:cs="仿宋"/>
                <w:sz w:val="22"/>
                <w:szCs w:val="22"/>
              </w:rPr>
              <w:t>6,214.56</w:t>
            </w:r>
          </w:p>
        </w:tc>
        <w:tc>
          <w:tcPr>
            <w:tcW w:w="3667" w:type="dxa"/>
            <w:gridSpan w:val="3"/>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b/>
                <w:bCs/>
              </w:rPr>
              <w:t>总计</w:t>
            </w:r>
          </w:p>
        </w:tc>
        <w:tc>
          <w:tcPr>
            <w:tcW w:w="1728" w:type="dxa"/>
            <w:tcBorders>
              <w:left w:val="single" w:color="000000" w:sz="4" w:space="0"/>
              <w:bottom w:val="single" w:color="000000" w:sz="4" w:space="0"/>
            </w:tcBorders>
            <w:vAlign w:val="center"/>
          </w:tcPr>
          <w:p>
            <w:pPr>
              <w:jc w:val="right"/>
              <w:rPr>
                <w:rFonts w:hint="eastAsia" w:ascii="仿宋" w:hAnsi="仿宋" w:eastAsia="仿宋" w:cs="仿宋"/>
                <w:sz w:val="22"/>
                <w:szCs w:val="22"/>
              </w:rPr>
            </w:pPr>
            <w:r>
              <w:rPr>
                <w:rFonts w:hint="eastAsia" w:ascii="仿宋" w:hAnsi="仿宋" w:eastAsia="仿宋" w:cs="仿宋"/>
                <w:sz w:val="22"/>
                <w:szCs w:val="22"/>
              </w:rPr>
              <w:t>6,214.56</w:t>
            </w:r>
          </w:p>
        </w:tc>
        <w:tc>
          <w:tcPr>
            <w:tcW w:w="1415" w:type="dxa"/>
            <w:gridSpan w:val="2"/>
            <w:tcBorders>
              <w:left w:val="single" w:color="000000" w:sz="4" w:space="0"/>
              <w:bottom w:val="single" w:color="000000" w:sz="4" w:space="0"/>
            </w:tcBorders>
            <w:vAlign w:val="center"/>
          </w:tcPr>
          <w:p>
            <w:pPr>
              <w:jc w:val="right"/>
              <w:rPr>
                <w:rFonts w:hint="eastAsia" w:ascii="仿宋" w:hAnsi="仿宋" w:eastAsia="仿宋" w:cs="仿宋"/>
                <w:sz w:val="22"/>
                <w:szCs w:val="22"/>
              </w:rPr>
            </w:pPr>
            <w:r>
              <w:rPr>
                <w:rFonts w:hint="eastAsia" w:ascii="仿宋" w:hAnsi="仿宋" w:eastAsia="仿宋" w:cs="仿宋"/>
                <w:sz w:val="22"/>
                <w:szCs w:val="22"/>
              </w:rPr>
              <w:t>6,214.56</w:t>
            </w:r>
          </w:p>
        </w:tc>
        <w:tc>
          <w:tcPr>
            <w:tcW w:w="1500" w:type="dxa"/>
            <w:tcBorders>
              <w:left w:val="single" w:color="000000" w:sz="4" w:space="0"/>
              <w:bottom w:val="single" w:color="000000" w:sz="4" w:space="0"/>
            </w:tcBorders>
            <w:vAlign w:val="center"/>
          </w:tcPr>
          <w:p>
            <w:pPr>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jc w:val="right"/>
              <w:rPr>
                <w:rFonts w:hint="eastAsia" w:ascii="仿宋" w:hAnsi="仿宋" w:eastAsia="仿宋" w:cs="仿宋"/>
                <w:sz w:val="22"/>
                <w:szCs w:val="22"/>
              </w:rPr>
            </w:pPr>
          </w:p>
        </w:tc>
      </w:tr>
    </w:tbl>
    <w:p>
      <w:pPr>
        <w:jc w:val="both"/>
        <w:rPr>
          <w:rFonts w:hint="eastAsia" w:ascii="仿宋" w:hAnsi="仿宋" w:eastAsia="仿宋" w:cs="仿宋"/>
        </w:rPr>
      </w:pPr>
      <w:r>
        <w:rPr>
          <w:rFonts w:hint="eastAsia" w:ascii="仿宋" w:hAnsi="仿宋" w:eastAsia="仿宋" w:cs="仿宋"/>
          <w:lang w:val="en-US"/>
        </w:rPr>
        <w:t>注：</w:t>
      </w:r>
      <w:r>
        <w:rPr>
          <w:rFonts w:hint="eastAsia" w:ascii="仿宋" w:hAnsi="仿宋" w:eastAsia="仿宋" w:cs="仿宋"/>
        </w:rPr>
        <w:t>本表反映本年度一般公共预算财政拨款、政府性基金预算财政拨款和国有资本经营预算财政拨款的总收支和年末结转结余情况。本表金额单位转换时可能存在尾数误差。</w:t>
      </w:r>
    </w:p>
    <w:p>
      <w:pPr>
        <w:jc w:val="both"/>
        <w:rPr>
          <w:rFonts w:hint="eastAsia" w:ascii="仿宋" w:hAnsi="仿宋" w:eastAsia="仿宋" w:cs="仿宋"/>
        </w:rPr>
        <w:sectPr>
          <w:footerReference r:id="rId10"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tblPrEx>
          <w:tblCellMar>
            <w:top w:w="55" w:type="dxa"/>
            <w:left w:w="55" w:type="dxa"/>
            <w:bottom w:w="55" w:type="dxa"/>
            <w:right w:w="55" w:type="dxa"/>
          </w:tblCellMar>
        </w:tblPrEx>
        <w:trPr>
          <w:trHeight w:val="321" w:hRule="atLeast"/>
        </w:trPr>
        <w:tc>
          <w:tcPr>
            <w:tcW w:w="15417" w:type="dxa"/>
            <w:gridSpan w:val="5"/>
            <w:vAlign w:val="center"/>
          </w:tcPr>
          <w:p>
            <w:pPr>
              <w:pStyle w:val="22"/>
              <w:jc w:val="center"/>
              <w:rPr>
                <w:rFonts w:hint="eastAsia" w:ascii="仿宋" w:hAnsi="仿宋" w:eastAsia="仿宋" w:cs="仿宋"/>
                <w:b/>
                <w:bCs/>
                <w:sz w:val="44"/>
                <w:szCs w:val="44"/>
              </w:rPr>
            </w:pPr>
            <w:r>
              <w:rPr>
                <w:rFonts w:hint="eastAsia"/>
                <w:b/>
                <w:bCs/>
                <w:color w:val="000000"/>
                <w:sz w:val="36"/>
                <w:szCs w:val="36"/>
                <w:lang w:eastAsia="ar-SA"/>
              </w:rPr>
              <w:t>财政拨款支出决算表（功能科目）</w:t>
            </w:r>
          </w:p>
        </w:tc>
      </w:tr>
      <w:tr>
        <w:tblPrEx>
          <w:tblCellMar>
            <w:top w:w="55" w:type="dxa"/>
            <w:left w:w="55" w:type="dxa"/>
            <w:bottom w:w="55" w:type="dxa"/>
            <w:right w:w="55" w:type="dxa"/>
          </w:tblCellMar>
        </w:tblPrEx>
        <w:trPr>
          <w:trHeight w:val="321" w:hRule="atLeast"/>
        </w:trPr>
        <w:tc>
          <w:tcPr>
            <w:tcW w:w="6300" w:type="dxa"/>
            <w:gridSpan w:val="2"/>
          </w:tcPr>
          <w:p>
            <w:pPr>
              <w:pStyle w:val="22"/>
              <w:rPr>
                <w:rFonts w:hint="eastAsia" w:ascii="仿宋" w:hAnsi="仿宋" w:eastAsia="仿宋" w:cs="仿宋"/>
                <w:sz w:val="20"/>
              </w:rPr>
            </w:pPr>
          </w:p>
        </w:tc>
        <w:tc>
          <w:tcPr>
            <w:tcW w:w="3184" w:type="dxa"/>
          </w:tcPr>
          <w:p>
            <w:pPr>
              <w:pStyle w:val="22"/>
              <w:rPr>
                <w:rFonts w:hint="eastAsia" w:ascii="仿宋" w:hAnsi="仿宋" w:eastAsia="仿宋" w:cs="仿宋"/>
                <w:sz w:val="27"/>
              </w:rPr>
            </w:pPr>
          </w:p>
        </w:tc>
        <w:tc>
          <w:tcPr>
            <w:tcW w:w="5933" w:type="dxa"/>
            <w:gridSpan w:val="2"/>
            <w:vAlign w:val="center"/>
          </w:tcPr>
          <w:p>
            <w:pPr>
              <w:pStyle w:val="22"/>
              <w:jc w:val="right"/>
              <w:rPr>
                <w:rFonts w:hint="eastAsia" w:ascii="仿宋" w:hAnsi="仿宋" w:eastAsia="仿宋" w:cs="仿宋"/>
                <w:sz w:val="27"/>
              </w:rPr>
            </w:pPr>
            <w:r>
              <w:rPr>
                <w:rFonts w:hint="eastAsia" w:ascii="仿宋" w:hAnsi="仿宋" w:eastAsia="仿宋" w:cs="仿宋"/>
              </w:rPr>
              <w:t>公开05表</w:t>
            </w:r>
          </w:p>
        </w:tc>
      </w:tr>
      <w:tr>
        <w:tblPrEx>
          <w:tblCellMar>
            <w:top w:w="55" w:type="dxa"/>
            <w:left w:w="55" w:type="dxa"/>
            <w:bottom w:w="55" w:type="dxa"/>
            <w:right w:w="55" w:type="dxa"/>
          </w:tblCellMar>
        </w:tblPrEx>
        <w:trPr>
          <w:trHeight w:val="288" w:hRule="atLeast"/>
        </w:trPr>
        <w:tc>
          <w:tcPr>
            <w:tcW w:w="6300" w:type="dxa"/>
            <w:gridSpan w:val="2"/>
          </w:tcPr>
          <w:p>
            <w:pPr>
              <w:pStyle w:val="22"/>
              <w:rPr>
                <w:rFonts w:hint="eastAsia"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rPr>
              <w:t>宜兴市人民检察院</w:t>
            </w:r>
          </w:p>
        </w:tc>
        <w:tc>
          <w:tcPr>
            <w:tcW w:w="3184" w:type="dxa"/>
          </w:tcPr>
          <w:p>
            <w:pPr>
              <w:pStyle w:val="22"/>
              <w:rPr>
                <w:rFonts w:hint="eastAsia" w:ascii="仿宋" w:hAnsi="仿宋" w:eastAsia="仿宋" w:cs="仿宋"/>
                <w:sz w:val="27"/>
              </w:rPr>
            </w:pPr>
          </w:p>
        </w:tc>
        <w:tc>
          <w:tcPr>
            <w:tcW w:w="2778" w:type="dxa"/>
            <w:vAlign w:val="center"/>
          </w:tcPr>
          <w:p>
            <w:pPr>
              <w:pStyle w:val="22"/>
              <w:jc w:val="right"/>
              <w:rPr>
                <w:rFonts w:hint="eastAsia" w:ascii="仿宋" w:hAnsi="仿宋" w:eastAsia="仿宋" w:cs="仿宋"/>
                <w:sz w:val="27"/>
              </w:rPr>
            </w:pPr>
          </w:p>
        </w:tc>
        <w:tc>
          <w:tcPr>
            <w:tcW w:w="3155" w:type="dxa"/>
            <w:vAlign w:val="center"/>
          </w:tcPr>
          <w:p>
            <w:pPr>
              <w:pStyle w:val="22"/>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184" w:type="dxa"/>
            <w:vMerge w:val="restart"/>
            <w:tcBorders>
              <w:top w:val="single" w:color="000000" w:sz="6" w:space="0"/>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本年支出合计</w:t>
            </w:r>
          </w:p>
        </w:tc>
        <w:tc>
          <w:tcPr>
            <w:tcW w:w="2778" w:type="dxa"/>
            <w:vMerge w:val="restart"/>
            <w:tcBorders>
              <w:top w:val="single" w:color="000000" w:sz="6" w:space="0"/>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功能分类</w:t>
            </w:r>
          </w:p>
          <w:p>
            <w:pPr>
              <w:pStyle w:val="22"/>
              <w:jc w:val="center"/>
              <w:rPr>
                <w:rFonts w:hint="eastAsia" w:ascii="仿宋" w:hAnsi="仿宋" w:eastAsia="仿宋" w:cs="仿宋"/>
              </w:rPr>
            </w:pPr>
            <w:r>
              <w:rPr>
                <w:rFonts w:hint="eastAsia" w:ascii="仿宋" w:hAnsi="仿宋" w:eastAsia="仿宋" w:cs="仿宋"/>
              </w:rPr>
              <w:t>科目编码</w:t>
            </w:r>
          </w:p>
        </w:tc>
        <w:tc>
          <w:tcPr>
            <w:tcW w:w="5022"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3184" w:type="dxa"/>
            <w:vMerge w:val="continue"/>
            <w:tcBorders>
              <w:left w:val="single" w:color="000000" w:sz="6" w:space="0"/>
              <w:bottom w:val="single" w:color="000000" w:sz="6" w:space="0"/>
            </w:tcBorders>
          </w:tcPr>
          <w:p>
            <w:pPr>
              <w:rPr>
                <w:rFonts w:hint="eastAsia" w:ascii="仿宋" w:hAnsi="仿宋" w:eastAsia="仿宋" w:cs="仿宋"/>
              </w:rPr>
            </w:pPr>
          </w:p>
        </w:tc>
        <w:tc>
          <w:tcPr>
            <w:tcW w:w="2778" w:type="dxa"/>
            <w:vMerge w:val="continue"/>
            <w:tcBorders>
              <w:left w:val="single" w:color="000000" w:sz="6" w:space="0"/>
              <w:bottom w:val="single" w:color="000000" w:sz="6" w:space="0"/>
            </w:tcBorders>
          </w:tcPr>
          <w:p>
            <w:pPr>
              <w:rPr>
                <w:rFonts w:hint="eastAsia" w:ascii="仿宋" w:hAnsi="仿宋" w:eastAsia="仿宋" w:cs="仿宋"/>
              </w:rPr>
            </w:pPr>
          </w:p>
        </w:tc>
        <w:tc>
          <w:tcPr>
            <w:tcW w:w="3155" w:type="dxa"/>
            <w:vMerge w:val="continue"/>
            <w:tcBorders>
              <w:left w:val="single" w:color="000000" w:sz="6" w:space="0"/>
              <w:bottom w:val="single" w:color="000000" w:sz="6" w:space="0"/>
              <w:right w:val="single" w:color="000000" w:sz="6" w:space="0"/>
            </w:tcBorders>
          </w:tcPr>
          <w:p>
            <w:pPr>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栏次</w:t>
            </w:r>
          </w:p>
        </w:tc>
        <w:tc>
          <w:tcPr>
            <w:tcW w:w="3184"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1</w:t>
            </w:r>
          </w:p>
        </w:tc>
        <w:tc>
          <w:tcPr>
            <w:tcW w:w="2778"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2</w:t>
            </w:r>
          </w:p>
        </w:tc>
        <w:tc>
          <w:tcPr>
            <w:tcW w:w="3155" w:type="dxa"/>
            <w:tcBorders>
              <w:left w:val="single" w:color="000000" w:sz="6" w:space="0"/>
              <w:bottom w:val="single" w:color="000000" w:sz="6" w:space="0"/>
              <w:right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3</w:t>
            </w:r>
          </w:p>
        </w:tc>
      </w:tr>
      <w:tr>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合计</w:t>
            </w:r>
          </w:p>
        </w:tc>
        <w:tc>
          <w:tcPr>
            <w:tcW w:w="3184" w:type="dxa"/>
            <w:tcBorders>
              <w:left w:val="single" w:color="000000" w:sz="6" w:space="0"/>
              <w:bottom w:val="single" w:color="000000" w:sz="6" w:space="0"/>
            </w:tcBorders>
          </w:tcPr>
          <w:p>
            <w:pPr>
              <w:pStyle w:val="22"/>
              <w:jc w:val="right"/>
              <w:rPr>
                <w:rFonts w:hint="eastAsia" w:ascii="仿宋" w:hAnsi="仿宋" w:eastAsia="仿宋" w:cs="仿宋"/>
              </w:rPr>
            </w:pPr>
            <w:r>
              <w:rPr>
                <w:rFonts w:hint="eastAsia" w:ascii="仿宋" w:hAnsi="仿宋" w:eastAsia="仿宋" w:cs="仿宋"/>
              </w:rPr>
              <w:t>6,214.56</w:t>
            </w:r>
          </w:p>
        </w:tc>
        <w:tc>
          <w:tcPr>
            <w:tcW w:w="2778" w:type="dxa"/>
            <w:tcBorders>
              <w:left w:val="single" w:color="000000" w:sz="6" w:space="0"/>
              <w:bottom w:val="single" w:color="000000" w:sz="6" w:space="0"/>
            </w:tcBorders>
          </w:tcPr>
          <w:p>
            <w:pPr>
              <w:pStyle w:val="22"/>
              <w:jc w:val="right"/>
              <w:rPr>
                <w:rFonts w:hint="eastAsia" w:ascii="仿宋" w:hAnsi="仿宋" w:eastAsia="仿宋" w:cs="仿宋"/>
              </w:rPr>
            </w:pPr>
            <w:r>
              <w:rPr>
                <w:rFonts w:hint="eastAsia" w:ascii="仿宋" w:hAnsi="仿宋" w:eastAsia="仿宋" w:cs="仿宋"/>
              </w:rPr>
              <w:t>4,943.67</w:t>
            </w:r>
          </w:p>
        </w:tc>
        <w:tc>
          <w:tcPr>
            <w:tcW w:w="3155" w:type="dxa"/>
            <w:tcBorders>
              <w:left w:val="single" w:color="000000" w:sz="6" w:space="0"/>
              <w:bottom w:val="single" w:color="000000" w:sz="6" w:space="0"/>
              <w:right w:val="single" w:color="000000" w:sz="6" w:space="0"/>
            </w:tcBorders>
          </w:tcPr>
          <w:p>
            <w:pPr>
              <w:pStyle w:val="22"/>
              <w:jc w:val="right"/>
              <w:rPr>
                <w:rFonts w:hint="eastAsia" w:ascii="仿宋" w:hAnsi="仿宋" w:eastAsia="仿宋" w:cs="仿宋"/>
              </w:rPr>
            </w:pPr>
            <w:r>
              <w:rPr>
                <w:rFonts w:hint="eastAsia" w:ascii="仿宋" w:hAnsi="仿宋" w:eastAsia="仿宋" w:cs="仿宋"/>
              </w:rPr>
              <w:t>1,270.89</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一般公共服务支出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0.80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0.80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20131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党委办公厅（室）及相关机构事务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0.80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0.80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2013102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一般行政管理事务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0.80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0.80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204</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公共安全支出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4,558.14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3,288.05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1,270.09</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20404</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检察</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4,555.14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3,288.05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1,267.09</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2040401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行政运行</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3,288.05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3,288.05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2040402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一般行政管理事务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268.45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268.45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2040410</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检察监督</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835.31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835.31</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2040499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其他检察支出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163.32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163.32</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20499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其他公共安全支出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2049999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其他公共安全支出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518.49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518.49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518.49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518.49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2080501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行政单位离退休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74.49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74.49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2080505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296.00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296.00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2080506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148.00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148.00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210</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卫生健康支出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129.50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129.50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21011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行政事业单位医疗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129.50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129.50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2101101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行政单位医疗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128.37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128.37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2101102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事业单位医疗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1.13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1.13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1,007.63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1,007.63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1,007.63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1,007.63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267.89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267.89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739.48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739.48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2210203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购房补贴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0.26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0.26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bl>
    <w:p>
      <w:pPr>
        <w:tabs>
          <w:tab w:val="left" w:pos="0"/>
        </w:tabs>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注：本表反映本年度一般公共预算财政拨款、政府性基金预算财政拨款和国有资本经营预算财政拨款支出情况。本表金额单位转换时可能存在尾数误差。</w:t>
      </w:r>
    </w:p>
    <w:p>
      <w:pPr>
        <w:tabs>
          <w:tab w:val="left" w:pos="55"/>
        </w:tabs>
        <w:jc w:val="both"/>
        <w:rPr>
          <w:rFonts w:hint="eastAsia" w:ascii="仿宋" w:hAnsi="仿宋" w:eastAsia="仿宋" w:cs="仿宋"/>
        </w:rPr>
        <w:sectPr>
          <w:footerReference r:id="rId11"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tblPrEx>
          <w:tblCellMar>
            <w:top w:w="55" w:type="dxa"/>
            <w:left w:w="55" w:type="dxa"/>
            <w:bottom w:w="55" w:type="dxa"/>
            <w:right w:w="55" w:type="dxa"/>
          </w:tblCellMar>
        </w:tblPrEx>
        <w:trPr>
          <w:trHeight w:val="319" w:hRule="atLeast"/>
        </w:trPr>
        <w:tc>
          <w:tcPr>
            <w:tcW w:w="10515" w:type="dxa"/>
            <w:gridSpan w:val="5"/>
            <w:vAlign w:val="center"/>
          </w:tcPr>
          <w:p>
            <w:pPr>
              <w:pStyle w:val="22"/>
              <w:jc w:val="center"/>
              <w:rPr>
                <w:rFonts w:hint="eastAsia" w:ascii="仿宋" w:hAnsi="仿宋" w:eastAsia="仿宋" w:cs="仿宋"/>
                <w:b/>
                <w:bCs/>
                <w:sz w:val="44"/>
                <w:szCs w:val="44"/>
              </w:rPr>
            </w:pPr>
            <w:r>
              <w:rPr>
                <w:rFonts w:hint="eastAsia"/>
                <w:b/>
                <w:bCs/>
                <w:color w:val="000000"/>
                <w:sz w:val="36"/>
                <w:szCs w:val="36"/>
                <w:lang w:eastAsia="ar-SA"/>
              </w:rPr>
              <w:t>财政拨款基本支出决算表（经济科目）</w:t>
            </w:r>
          </w:p>
        </w:tc>
      </w:tr>
      <w:tr>
        <w:tblPrEx>
          <w:tblCellMar>
            <w:top w:w="55" w:type="dxa"/>
            <w:left w:w="55" w:type="dxa"/>
            <w:bottom w:w="55" w:type="dxa"/>
            <w:right w:w="55" w:type="dxa"/>
          </w:tblCellMar>
        </w:tblPrEx>
        <w:trPr>
          <w:trHeight w:val="319" w:hRule="atLeast"/>
        </w:trPr>
        <w:tc>
          <w:tcPr>
            <w:tcW w:w="4532" w:type="dxa"/>
            <w:gridSpan w:val="2"/>
          </w:tcPr>
          <w:p>
            <w:pPr>
              <w:pStyle w:val="22"/>
              <w:rPr>
                <w:rFonts w:hint="eastAsia" w:ascii="仿宋" w:hAnsi="仿宋" w:eastAsia="仿宋" w:cs="仿宋"/>
                <w:sz w:val="20"/>
              </w:rPr>
            </w:pPr>
          </w:p>
        </w:tc>
        <w:tc>
          <w:tcPr>
            <w:tcW w:w="2047" w:type="dxa"/>
          </w:tcPr>
          <w:p>
            <w:pPr>
              <w:pStyle w:val="22"/>
              <w:rPr>
                <w:rFonts w:hint="eastAsia" w:ascii="仿宋" w:hAnsi="仿宋" w:eastAsia="仿宋" w:cs="仿宋"/>
                <w:sz w:val="20"/>
              </w:rPr>
            </w:pPr>
          </w:p>
        </w:tc>
        <w:tc>
          <w:tcPr>
            <w:tcW w:w="2040" w:type="dxa"/>
          </w:tcPr>
          <w:p>
            <w:pPr>
              <w:pStyle w:val="22"/>
              <w:rPr>
                <w:rFonts w:hint="eastAsia" w:ascii="仿宋" w:hAnsi="仿宋" w:eastAsia="仿宋" w:cs="仿宋"/>
                <w:sz w:val="20"/>
              </w:rPr>
            </w:pPr>
          </w:p>
        </w:tc>
        <w:tc>
          <w:tcPr>
            <w:tcW w:w="1896" w:type="dxa"/>
            <w:vAlign w:val="center"/>
          </w:tcPr>
          <w:p>
            <w:pPr>
              <w:pStyle w:val="22"/>
              <w:jc w:val="right"/>
              <w:rPr>
                <w:rFonts w:hint="eastAsia" w:ascii="仿宋" w:hAnsi="仿宋" w:eastAsia="仿宋" w:cs="仿宋"/>
                <w:sz w:val="20"/>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8619" w:type="dxa"/>
            <w:gridSpan w:val="4"/>
          </w:tcPr>
          <w:p>
            <w:pPr>
              <w:pStyle w:val="22"/>
              <w:rPr>
                <w:rFonts w:hint="eastAsia" w:ascii="仿宋" w:hAnsi="仿宋" w:eastAsia="仿宋" w:cs="仿宋"/>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rPr>
              <w:t>宜兴市人民检察院</w:t>
            </w:r>
          </w:p>
        </w:tc>
        <w:tc>
          <w:tcPr>
            <w:tcW w:w="1896" w:type="dxa"/>
            <w:vAlign w:val="center"/>
          </w:tcPr>
          <w:p>
            <w:pPr>
              <w:pStyle w:val="22"/>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sz w:val="20"/>
              </w:rPr>
            </w:pPr>
            <w:r>
              <w:rPr>
                <w:rFonts w:hint="eastAsia" w:ascii="仿宋" w:hAnsi="仿宋" w:eastAsia="仿宋" w:cs="仿宋"/>
              </w:rPr>
              <w:t>财政拨款基本支出</w:t>
            </w:r>
          </w:p>
        </w:tc>
      </w:tr>
      <w:tr>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ascii="仿宋" w:hAnsi="仿宋" w:eastAsia="仿宋" w:cs="仿宋"/>
                <w:u w:color="auto"/>
              </w:rPr>
              <w:t>合计</w:t>
            </w:r>
          </w:p>
        </w:tc>
        <w:tc>
          <w:tcPr>
            <w:tcW w:w="2047" w:type="dxa"/>
            <w:tcBorders>
              <w:left w:val="single" w:color="000000" w:sz="4" w:space="0"/>
              <w:bottom w:val="single" w:color="000000" w:sz="4" w:space="0"/>
            </w:tcBorders>
            <w:vAlign w:val="center"/>
          </w:tcPr>
          <w:p>
            <w:pPr>
              <w:pStyle w:val="22"/>
              <w:jc w:val="right"/>
              <w:rPr>
                <w:rFonts w:hint="eastAsia" w:ascii="仿宋" w:hAnsi="仿宋" w:eastAsia="仿宋" w:cs="仿宋"/>
                <w:sz w:val="22"/>
                <w:szCs w:val="22"/>
              </w:rPr>
            </w:pPr>
            <w:r>
              <w:rPr>
                <w:rFonts w:hint="eastAsia" w:ascii="仿宋" w:hAnsi="仿宋" w:eastAsia="仿宋" w:cs="仿宋"/>
                <w:sz w:val="22"/>
                <w:szCs w:val="22"/>
              </w:rPr>
              <w:t>4,943.68</w:t>
            </w:r>
          </w:p>
        </w:tc>
        <w:tc>
          <w:tcPr>
            <w:tcW w:w="2040" w:type="dxa"/>
            <w:tcBorders>
              <w:left w:val="single" w:color="000000" w:sz="4" w:space="0"/>
              <w:bottom w:val="single" w:color="000000" w:sz="4" w:space="0"/>
            </w:tcBorders>
            <w:vAlign w:val="center"/>
          </w:tcPr>
          <w:p>
            <w:pPr>
              <w:pStyle w:val="22"/>
              <w:jc w:val="right"/>
              <w:rPr>
                <w:rFonts w:hint="eastAsia" w:ascii="仿宋" w:hAnsi="仿宋" w:eastAsia="仿宋" w:cs="仿宋"/>
                <w:sz w:val="22"/>
                <w:szCs w:val="22"/>
              </w:rPr>
            </w:pPr>
            <w:r>
              <w:rPr>
                <w:rFonts w:hint="eastAsia" w:ascii="仿宋" w:hAnsi="仿宋" w:eastAsia="仿宋" w:cs="仿宋"/>
                <w:sz w:val="22"/>
                <w:szCs w:val="22"/>
              </w:rPr>
              <w:t>4,630.51</w:t>
            </w:r>
          </w:p>
        </w:tc>
        <w:tc>
          <w:tcPr>
            <w:tcW w:w="1896"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2"/>
                <w:szCs w:val="22"/>
              </w:rPr>
            </w:pPr>
            <w:r>
              <w:rPr>
                <w:rFonts w:hint="eastAsia" w:ascii="仿宋" w:hAnsi="仿宋" w:eastAsia="仿宋" w:cs="仿宋"/>
                <w:sz w:val="22"/>
                <w:szCs w:val="22"/>
              </w:rPr>
              <w:t>313.17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4,328.98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54.80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527.22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527.22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9.51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1,602.68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870.57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7.54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7.54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3.12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296.00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148.00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148.00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129.50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129.50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18.34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18.34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3.14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267.89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8.72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8.72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452.54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452.54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313.17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313.17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45.00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2.50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45.00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10.00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30.00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4.42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4.42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19.60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19.60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40.48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40.48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26.16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26.16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74.49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74.49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15.52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15.52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301.52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301.52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273.81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15.30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18.39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3.78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3.78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5.04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0.50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其他资本性补助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bl>
    <w:p>
      <w:pPr>
        <w:tabs>
          <w:tab w:val="left" w:pos="660"/>
          <w:tab w:val="left" w:pos="10780"/>
        </w:tabs>
        <w:spacing w:before="25" w:line="290" w:lineRule="auto"/>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注：本表反映本年度一般公共预算财政拨款、政府性基金预算财政拨款和国有资本经营预算财政拨款基本支出情况。本表金额单位转换时可能存在尾数误差。</w:t>
      </w:r>
    </w:p>
    <w:p>
      <w:pPr>
        <w:spacing w:line="255" w:lineRule="exact"/>
        <w:jc w:val="both"/>
        <w:rPr>
          <w:rFonts w:hint="eastAsia" w:ascii="仿宋" w:hAnsi="仿宋" w:eastAsia="仿宋" w:cs="仿宋"/>
        </w:rPr>
        <w:sectPr>
          <w:footerReference r:id="rId12" w:type="default"/>
          <w:pgSz w:w="11906" w:h="16838"/>
          <w:pgMar w:top="720" w:right="720" w:bottom="720" w:left="720" w:header="170" w:footer="280" w:gutter="0"/>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tblPrEx>
          <w:tblCellMar>
            <w:top w:w="55" w:type="dxa"/>
            <w:left w:w="55" w:type="dxa"/>
            <w:bottom w:w="55" w:type="dxa"/>
            <w:right w:w="55" w:type="dxa"/>
          </w:tblCellMar>
        </w:tblPrEx>
        <w:trPr>
          <w:trHeight w:val="560" w:hRule="atLeast"/>
        </w:trPr>
        <w:tc>
          <w:tcPr>
            <w:tcW w:w="10446" w:type="dxa"/>
            <w:gridSpan w:val="5"/>
            <w:vAlign w:val="center"/>
          </w:tcPr>
          <w:p>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一般公共预算支出决算表（功能科目）</w:t>
            </w:r>
          </w:p>
        </w:tc>
      </w:tr>
      <w:tr>
        <w:tblPrEx>
          <w:tblCellMar>
            <w:top w:w="55" w:type="dxa"/>
            <w:left w:w="55" w:type="dxa"/>
            <w:bottom w:w="55" w:type="dxa"/>
            <w:right w:w="55" w:type="dxa"/>
          </w:tblCellMar>
        </w:tblPrEx>
        <w:trPr>
          <w:trHeight w:val="147" w:hRule="atLeast"/>
        </w:trPr>
        <w:tc>
          <w:tcPr>
            <w:tcW w:w="5466" w:type="dxa"/>
            <w:gridSpan w:val="2"/>
          </w:tcPr>
          <w:p>
            <w:pPr>
              <w:pStyle w:val="22"/>
              <w:rPr>
                <w:rFonts w:hint="eastAsia" w:ascii="仿宋" w:hAnsi="仿宋" w:eastAsia="仿宋" w:cs="仿宋"/>
                <w:sz w:val="20"/>
              </w:rPr>
            </w:pPr>
          </w:p>
        </w:tc>
        <w:tc>
          <w:tcPr>
            <w:tcW w:w="1969" w:type="dxa"/>
          </w:tcPr>
          <w:p>
            <w:pPr>
              <w:pStyle w:val="22"/>
              <w:rPr>
                <w:rFonts w:hint="eastAsia" w:ascii="仿宋" w:hAnsi="仿宋" w:eastAsia="仿宋" w:cs="仿宋"/>
                <w:sz w:val="20"/>
              </w:rPr>
            </w:pPr>
          </w:p>
        </w:tc>
        <w:tc>
          <w:tcPr>
            <w:tcW w:w="1499" w:type="dxa"/>
          </w:tcPr>
          <w:p>
            <w:pPr>
              <w:pStyle w:val="22"/>
              <w:rPr>
                <w:rFonts w:hint="eastAsia" w:ascii="仿宋" w:hAnsi="仿宋" w:eastAsia="仿宋" w:cs="仿宋"/>
                <w:sz w:val="20"/>
              </w:rPr>
            </w:pPr>
          </w:p>
        </w:tc>
        <w:tc>
          <w:tcPr>
            <w:tcW w:w="1512" w:type="dxa"/>
            <w:vAlign w:val="center"/>
          </w:tcPr>
          <w:p>
            <w:pPr>
              <w:pStyle w:val="22"/>
              <w:jc w:val="right"/>
              <w:rPr>
                <w:rFonts w:hint="eastAsia" w:ascii="仿宋" w:hAnsi="仿宋" w:eastAsia="仿宋" w:cs="仿宋"/>
                <w:sz w:val="20"/>
              </w:rPr>
            </w:pPr>
            <w:r>
              <w:rPr>
                <w:rFonts w:hint="eastAsia" w:ascii="仿宋" w:hAnsi="仿宋" w:eastAsia="仿宋" w:cs="仿宋"/>
              </w:rPr>
              <w:t>公开07表</w:t>
            </w:r>
          </w:p>
        </w:tc>
      </w:tr>
      <w:tr>
        <w:tblPrEx>
          <w:tblCellMar>
            <w:top w:w="55" w:type="dxa"/>
            <w:left w:w="55" w:type="dxa"/>
            <w:bottom w:w="55" w:type="dxa"/>
            <w:right w:w="55" w:type="dxa"/>
          </w:tblCellMar>
        </w:tblPrEx>
        <w:trPr>
          <w:trHeight w:val="303" w:hRule="atLeast"/>
        </w:trPr>
        <w:tc>
          <w:tcPr>
            <w:tcW w:w="7435" w:type="dxa"/>
            <w:gridSpan w:val="3"/>
          </w:tcPr>
          <w:p>
            <w:pPr>
              <w:pStyle w:val="22"/>
              <w:rPr>
                <w:rFonts w:hint="eastAsia" w:ascii="仿宋" w:hAnsi="仿宋" w:eastAsia="仿宋" w:cs="仿宋"/>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rPr>
              <w:t>宜兴市人民检察院</w:t>
            </w:r>
          </w:p>
        </w:tc>
        <w:tc>
          <w:tcPr>
            <w:tcW w:w="3011" w:type="dxa"/>
            <w:gridSpan w:val="2"/>
          </w:tcPr>
          <w:p>
            <w:pPr>
              <w:pStyle w:val="22"/>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pPr>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pPr>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pPr>
              <w:rPr>
                <w:rFonts w:hint="eastAsia" w:ascii="仿宋" w:hAnsi="仿宋" w:eastAsia="仿宋" w:cs="仿宋"/>
                <w:sz w:val="2"/>
                <w:szCs w:val="2"/>
              </w:rPr>
            </w:pPr>
          </w:p>
        </w:tc>
      </w:tr>
      <w:tr>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pPr>
              <w:pStyle w:val="22"/>
              <w:jc w:val="center"/>
              <w:rPr>
                <w:rFonts w:hint="eastAsia" w:ascii="仿宋" w:hAnsi="仿宋" w:eastAsia="仿宋" w:cs="仿宋"/>
                <w:sz w:val="22"/>
                <w:szCs w:val="22"/>
              </w:rPr>
            </w:pPr>
            <w:r>
              <w:rPr>
                <w:rFonts w:hint="eastAsia" w:ascii="仿宋" w:hAnsi="仿宋" w:eastAsia="仿宋" w:cs="仿宋"/>
                <w:sz w:val="22"/>
                <w:szCs w:val="22"/>
              </w:rPr>
              <w:t>1</w:t>
            </w:r>
          </w:p>
        </w:tc>
        <w:tc>
          <w:tcPr>
            <w:tcW w:w="1499" w:type="dxa"/>
            <w:tcBorders>
              <w:left w:val="single" w:color="000000" w:sz="6" w:space="0"/>
              <w:bottom w:val="single" w:color="000000" w:sz="6" w:space="0"/>
            </w:tcBorders>
            <w:vAlign w:val="center"/>
          </w:tcPr>
          <w:p>
            <w:pPr>
              <w:pStyle w:val="22"/>
              <w:jc w:val="center"/>
              <w:rPr>
                <w:rFonts w:hint="eastAsia" w:ascii="仿宋" w:hAnsi="仿宋" w:eastAsia="仿宋" w:cs="仿宋"/>
                <w:sz w:val="22"/>
                <w:szCs w:val="22"/>
              </w:rPr>
            </w:pPr>
            <w:r>
              <w:rPr>
                <w:rFonts w:hint="eastAsia" w:ascii="仿宋" w:hAnsi="仿宋" w:eastAsia="仿宋" w:cs="仿宋"/>
                <w:sz w:val="22"/>
                <w:szCs w:val="22"/>
              </w:rPr>
              <w:t>2</w:t>
            </w:r>
          </w:p>
        </w:tc>
        <w:tc>
          <w:tcPr>
            <w:tcW w:w="1512" w:type="dxa"/>
            <w:tcBorders>
              <w:left w:val="single" w:color="000000" w:sz="6" w:space="0"/>
              <w:bottom w:val="single" w:color="000000" w:sz="6" w:space="0"/>
              <w:right w:val="single" w:color="000000" w:sz="6" w:space="0"/>
            </w:tcBorders>
            <w:vAlign w:val="center"/>
          </w:tcPr>
          <w:p>
            <w:pPr>
              <w:pStyle w:val="22"/>
              <w:jc w:val="center"/>
              <w:rPr>
                <w:rFonts w:hint="eastAsia" w:ascii="仿宋" w:hAnsi="仿宋" w:eastAsia="仿宋" w:cs="仿宋"/>
                <w:sz w:val="22"/>
                <w:szCs w:val="22"/>
              </w:rPr>
            </w:pPr>
            <w:r>
              <w:rPr>
                <w:rFonts w:hint="eastAsia" w:ascii="仿宋" w:hAnsi="仿宋" w:eastAsia="仿宋" w:cs="仿宋"/>
                <w:sz w:val="22"/>
                <w:szCs w:val="22"/>
              </w:rPr>
              <w:t>3</w:t>
            </w:r>
          </w:p>
        </w:tc>
      </w:tr>
      <w:tr>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pPr>
              <w:pStyle w:val="22"/>
              <w:jc w:val="center"/>
              <w:rPr>
                <w:rFonts w:hint="eastAsia" w:ascii="仿宋" w:hAnsi="仿宋" w:eastAsia="仿宋" w:cs="仿宋"/>
                <w:sz w:val="20"/>
              </w:rPr>
            </w:pP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pPr>
              <w:pStyle w:val="22"/>
              <w:jc w:val="right"/>
              <w:rPr>
                <w:rFonts w:hint="eastAsia" w:ascii="仿宋" w:hAnsi="仿宋" w:eastAsia="仿宋" w:cs="仿宋"/>
                <w:sz w:val="22"/>
                <w:szCs w:val="22"/>
              </w:rPr>
            </w:pPr>
            <w:r>
              <w:rPr>
                <w:rFonts w:hint="eastAsia" w:ascii="仿宋" w:hAnsi="仿宋" w:eastAsia="仿宋" w:cs="仿宋"/>
                <w:sz w:val="22"/>
                <w:szCs w:val="22"/>
              </w:rPr>
              <w:t>6,214.56</w:t>
            </w:r>
          </w:p>
        </w:tc>
        <w:tc>
          <w:tcPr>
            <w:tcW w:w="1499" w:type="dxa"/>
            <w:tcBorders>
              <w:left w:val="single" w:color="000000" w:sz="6" w:space="0"/>
              <w:bottom w:val="single" w:color="000000" w:sz="6" w:space="0"/>
            </w:tcBorders>
            <w:vAlign w:val="center"/>
          </w:tcPr>
          <w:p>
            <w:pPr>
              <w:pStyle w:val="22"/>
              <w:jc w:val="right"/>
              <w:rPr>
                <w:rFonts w:hint="eastAsia" w:ascii="仿宋" w:hAnsi="仿宋" w:eastAsia="仿宋" w:cs="仿宋"/>
                <w:sz w:val="22"/>
                <w:szCs w:val="22"/>
              </w:rPr>
            </w:pPr>
            <w:r>
              <w:rPr>
                <w:rFonts w:hint="eastAsia" w:ascii="仿宋" w:hAnsi="仿宋" w:eastAsia="仿宋" w:cs="仿宋"/>
                <w:sz w:val="22"/>
                <w:szCs w:val="22"/>
              </w:rPr>
              <w:t>4,943.67</w:t>
            </w:r>
          </w:p>
        </w:tc>
        <w:tc>
          <w:tcPr>
            <w:tcW w:w="1512" w:type="dxa"/>
            <w:tcBorders>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sz w:val="22"/>
                <w:szCs w:val="22"/>
              </w:rPr>
            </w:pPr>
            <w:r>
              <w:rPr>
                <w:rFonts w:hint="eastAsia" w:ascii="仿宋" w:hAnsi="仿宋" w:eastAsia="仿宋" w:cs="仿宋"/>
                <w:sz w:val="22"/>
                <w:szCs w:val="22"/>
              </w:rPr>
              <w:t>1,270.89</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一般公共服务支出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0.80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0.80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20131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党委办公厅（室）及相关机构事务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0.80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0.80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2013102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一般行政管理事务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0.80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0.80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204</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公共安全支出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4,558.14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3,288.05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1,270.09</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20404</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检察</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4,555.14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3,288.05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1,267.09</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2040401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行政运行</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3,288.05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3,288.05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2040402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一般行政管理事务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268.45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268.45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2040410</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检察监督</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835.31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835.31</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2040499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其他检察支出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163.32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163.32</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20499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其他公共安全支出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2049999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其他公共安全支出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518.49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518.49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518.49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518.49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2080501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行政单位离退休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74.49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74.49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2080505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296.00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296.00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2080506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148.00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148.00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210</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卫生健康支出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129.50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129.50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21011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行政事业单位医疗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129.50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129.50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2101101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行政单位医疗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128.37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128.37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2101102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事业单位医疗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1.13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1.13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1,007.63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1,007.63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1,007.63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1,007.63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267.89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267.89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739.48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739.48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2210203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购房补贴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0.26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0.26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bl>
    <w:p>
      <w:pPr>
        <w:tabs>
          <w:tab w:val="left" w:pos="0"/>
        </w:tabs>
        <w:spacing w:before="25"/>
        <w:jc w:val="both"/>
        <w:rPr>
          <w:rFonts w:hint="eastAsia" w:ascii="仿宋" w:hAnsi="仿宋" w:eastAsia="仿宋" w:cs="仿宋"/>
        </w:rPr>
      </w:pPr>
      <w:r>
        <w:rPr>
          <w:rFonts w:hint="eastAsia" w:ascii="仿宋" w:hAnsi="仿宋" w:eastAsia="仿宋" w:cs="仿宋"/>
        </w:rPr>
        <w:t>注：本表反映本年度一般公共预算财政拨款支出情况。本表金额单位转换时可能存在尾数误差。</w:t>
      </w:r>
    </w:p>
    <w:p>
      <w:pPr>
        <w:spacing w:before="25"/>
        <w:jc w:val="both"/>
        <w:rPr>
          <w:rFonts w:hint="eastAsia" w:ascii="仿宋" w:hAnsi="仿宋" w:eastAsia="仿宋" w:cs="仿宋"/>
        </w:rPr>
        <w:sectPr>
          <w:footerReference r:id="rId13" w:type="default"/>
          <w:pgSz w:w="11906" w:h="16838"/>
          <w:pgMar w:top="720" w:right="720" w:bottom="720" w:left="720" w:header="170" w:footer="280" w:gutter="0"/>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tblPrEx>
          <w:tblCellMar>
            <w:top w:w="55" w:type="dxa"/>
            <w:left w:w="55" w:type="dxa"/>
            <w:bottom w:w="55" w:type="dxa"/>
            <w:right w:w="55" w:type="dxa"/>
          </w:tblCellMar>
        </w:tblPrEx>
        <w:trPr>
          <w:trHeight w:val="319" w:hRule="atLeast"/>
        </w:trPr>
        <w:tc>
          <w:tcPr>
            <w:tcW w:w="10473" w:type="dxa"/>
            <w:gridSpan w:val="5"/>
          </w:tcPr>
          <w:p>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一般公共预算基本支出决算表（经济科目）</w:t>
            </w:r>
          </w:p>
        </w:tc>
      </w:tr>
      <w:tr>
        <w:tblPrEx>
          <w:tblCellMar>
            <w:top w:w="55" w:type="dxa"/>
            <w:left w:w="55" w:type="dxa"/>
            <w:bottom w:w="55" w:type="dxa"/>
            <w:right w:w="55" w:type="dxa"/>
          </w:tblCellMar>
        </w:tblPrEx>
        <w:trPr>
          <w:trHeight w:val="199" w:hRule="atLeast"/>
        </w:trPr>
        <w:tc>
          <w:tcPr>
            <w:tcW w:w="8595" w:type="dxa"/>
            <w:gridSpan w:val="4"/>
            <w:vAlign w:val="center"/>
          </w:tcPr>
          <w:p>
            <w:pPr>
              <w:pStyle w:val="22"/>
              <w:jc w:val="right"/>
              <w:rPr>
                <w:rFonts w:hint="eastAsia" w:ascii="仿宋" w:hAnsi="仿宋" w:eastAsia="仿宋" w:cs="仿宋"/>
                <w:color w:val="000000"/>
              </w:rPr>
            </w:pPr>
          </w:p>
        </w:tc>
        <w:tc>
          <w:tcPr>
            <w:tcW w:w="1878" w:type="dxa"/>
            <w:vAlign w:val="center"/>
          </w:tcPr>
          <w:p>
            <w:pPr>
              <w:pStyle w:val="22"/>
              <w:jc w:val="right"/>
              <w:rPr>
                <w:rFonts w:hint="eastAsia" w:ascii="仿宋" w:hAnsi="仿宋" w:eastAsia="仿宋" w:cs="仿宋"/>
              </w:rPr>
            </w:pPr>
            <w:r>
              <w:rPr>
                <w:rFonts w:hint="eastAsia" w:ascii="仿宋" w:hAnsi="仿宋" w:eastAsia="仿宋" w:cs="仿宋"/>
              </w:rPr>
              <w:t>公开08表</w:t>
            </w:r>
          </w:p>
        </w:tc>
      </w:tr>
      <w:tr>
        <w:tblPrEx>
          <w:tblCellMar>
            <w:top w:w="55" w:type="dxa"/>
            <w:left w:w="55" w:type="dxa"/>
            <w:bottom w:w="55" w:type="dxa"/>
            <w:right w:w="55" w:type="dxa"/>
          </w:tblCellMar>
        </w:tblPrEx>
        <w:trPr>
          <w:trHeight w:val="320" w:hRule="atLeast"/>
        </w:trPr>
        <w:tc>
          <w:tcPr>
            <w:tcW w:w="8595" w:type="dxa"/>
            <w:gridSpan w:val="4"/>
            <w:vAlign w:val="center"/>
          </w:tcPr>
          <w:p>
            <w:pPr>
              <w:pStyle w:val="22"/>
              <w:rPr>
                <w:rFonts w:hint="eastAsia"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rPr>
              <w:t>宜兴市人民检察院</w:t>
            </w:r>
          </w:p>
        </w:tc>
        <w:tc>
          <w:tcPr>
            <w:tcW w:w="1878" w:type="dxa"/>
            <w:vAlign w:val="center"/>
          </w:tcPr>
          <w:p>
            <w:pPr>
              <w:pStyle w:val="22"/>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sz w:val="20"/>
              </w:rPr>
            </w:pPr>
            <w:r>
              <w:rPr>
                <w:rFonts w:hint="eastAsia" w:ascii="仿宋" w:hAnsi="仿宋" w:eastAsia="仿宋" w:cs="仿宋"/>
              </w:rPr>
              <w:t>一般公共预算财政拨款基本支出</w:t>
            </w:r>
          </w:p>
        </w:tc>
      </w:tr>
      <w:tr>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pPr>
              <w:pStyle w:val="22"/>
              <w:jc w:val="right"/>
              <w:rPr>
                <w:rFonts w:hint="eastAsia" w:ascii="仿宋" w:hAnsi="仿宋" w:eastAsia="仿宋" w:cs="仿宋"/>
                <w:sz w:val="22"/>
                <w:szCs w:val="22"/>
              </w:rPr>
            </w:pPr>
            <w:r>
              <w:rPr>
                <w:rFonts w:hint="eastAsia" w:ascii="仿宋" w:hAnsi="仿宋" w:eastAsia="仿宋" w:cs="仿宋"/>
                <w:sz w:val="22"/>
                <w:szCs w:val="22"/>
              </w:rPr>
              <w:t>4,943.68</w:t>
            </w:r>
          </w:p>
        </w:tc>
        <w:tc>
          <w:tcPr>
            <w:tcW w:w="1708" w:type="dxa"/>
            <w:tcBorders>
              <w:left w:val="single" w:color="000000" w:sz="4" w:space="0"/>
              <w:bottom w:val="single" w:color="000000" w:sz="4" w:space="0"/>
            </w:tcBorders>
            <w:vAlign w:val="center"/>
          </w:tcPr>
          <w:p>
            <w:pPr>
              <w:pStyle w:val="22"/>
              <w:jc w:val="right"/>
              <w:rPr>
                <w:rFonts w:hint="eastAsia" w:ascii="仿宋" w:hAnsi="仿宋" w:eastAsia="仿宋" w:cs="仿宋"/>
                <w:sz w:val="22"/>
                <w:szCs w:val="22"/>
              </w:rPr>
            </w:pPr>
            <w:r>
              <w:rPr>
                <w:rFonts w:hint="eastAsia" w:ascii="仿宋" w:hAnsi="仿宋" w:eastAsia="仿宋" w:cs="仿宋"/>
                <w:sz w:val="22"/>
                <w:szCs w:val="22"/>
              </w:rPr>
              <w:t>4,630.51</w:t>
            </w:r>
          </w:p>
        </w:tc>
        <w:tc>
          <w:tcPr>
            <w:tcW w:w="1878"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2"/>
                <w:szCs w:val="22"/>
              </w:rPr>
            </w:pPr>
            <w:r>
              <w:rPr>
                <w:rFonts w:hint="eastAsia" w:ascii="仿宋" w:hAnsi="仿宋" w:eastAsia="仿宋" w:cs="仿宋"/>
                <w:sz w:val="22"/>
                <w:szCs w:val="22"/>
              </w:rPr>
              <w:t>313.17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4,328.98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4,328.98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527.22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527.22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1,602.68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1,602.68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870.57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870.57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7.54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7.54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296.00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296.00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148.00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148.00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129.50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129.50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18.34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18.34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267.89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267.89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8.72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8.72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452.54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452.54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313.17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313.17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15.91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45.00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2.50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2.50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45.00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45.00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10.00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10.00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30.00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30.00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6.79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4.42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4.42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19.60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19.60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40.48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40.48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13.99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26.16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74.49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74.49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15.52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15.52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301.52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301.52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273.81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273.81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18.39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18.39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3.78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3.78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5.04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5.04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0.50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0.50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其他资本性补助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bl>
    <w:p>
      <w:pPr>
        <w:spacing w:before="25"/>
        <w:ind w:right="-92" w:rightChars="-42"/>
        <w:jc w:val="both"/>
        <w:rPr>
          <w:rFonts w:hint="eastAsia" w:ascii="仿宋" w:hAnsi="仿宋" w:eastAsia="仿宋" w:cs="仿宋"/>
        </w:rPr>
      </w:pPr>
      <w:r>
        <w:rPr>
          <w:rFonts w:hint="eastAsia" w:ascii="仿宋" w:hAnsi="仿宋" w:eastAsia="仿宋" w:cs="仿宋"/>
        </w:rPr>
        <w:t>注：本表反映本年度一般公共预算财政拨款基本支出情况。本表金额单位转换时可能存在尾数误差。</w:t>
      </w:r>
    </w:p>
    <w:p>
      <w:pPr>
        <w:spacing w:before="25"/>
        <w:jc w:val="both"/>
        <w:rPr>
          <w:rFonts w:hint="eastAsia" w:ascii="仿宋" w:hAnsi="仿宋" w:eastAsia="仿宋" w:cs="仿宋"/>
        </w:rPr>
        <w:sectPr>
          <w:footerReference r:id="rId14" w:type="default"/>
          <w:pgSz w:w="11906" w:h="16838"/>
          <w:pgMar w:top="720" w:right="720" w:bottom="720" w:left="720" w:header="170" w:footer="280" w:gutter="0"/>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tblPrEx>
          <w:tblCellMar>
            <w:top w:w="55" w:type="dxa"/>
            <w:left w:w="55" w:type="dxa"/>
            <w:bottom w:w="55" w:type="dxa"/>
            <w:right w:w="55" w:type="dxa"/>
          </w:tblCellMar>
        </w:tblPrEx>
        <w:trPr>
          <w:trHeight w:val="321" w:hRule="atLeast"/>
        </w:trPr>
        <w:tc>
          <w:tcPr>
            <w:tcW w:w="16486" w:type="dxa"/>
            <w:gridSpan w:val="16"/>
          </w:tcPr>
          <w:p>
            <w:pPr>
              <w:pStyle w:val="22"/>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“三公”经费、会议费</w:t>
            </w:r>
            <w:r>
              <w:rPr>
                <w:rFonts w:hint="eastAsia"/>
                <w:b/>
                <w:bCs/>
                <w:color w:val="000000"/>
                <w:sz w:val="36"/>
                <w:szCs w:val="36"/>
                <w:lang w:val="en-US" w:eastAsia="zh-CN"/>
              </w:rPr>
              <w:t>和</w:t>
            </w:r>
            <w:r>
              <w:rPr>
                <w:rFonts w:hint="eastAsia"/>
                <w:b/>
                <w:bCs/>
                <w:color w:val="000000"/>
                <w:sz w:val="36"/>
                <w:szCs w:val="36"/>
                <w:lang w:eastAsia="ar-SA"/>
              </w:rPr>
              <w:t>培训费支出决算表</w:t>
            </w:r>
          </w:p>
        </w:tc>
      </w:tr>
      <w:tr>
        <w:tblPrEx>
          <w:tblCellMar>
            <w:top w:w="55" w:type="dxa"/>
            <w:left w:w="55" w:type="dxa"/>
            <w:bottom w:w="55" w:type="dxa"/>
            <w:right w:w="55" w:type="dxa"/>
          </w:tblCellMar>
        </w:tblPrEx>
        <w:trPr>
          <w:trHeight w:val="207" w:hRule="atLeast"/>
        </w:trPr>
        <w:tc>
          <w:tcPr>
            <w:tcW w:w="16486" w:type="dxa"/>
            <w:gridSpan w:val="16"/>
          </w:tcPr>
          <w:p>
            <w:pPr>
              <w:pStyle w:val="22"/>
              <w:jc w:val="right"/>
              <w:rPr>
                <w:rFonts w:hint="eastAsia" w:ascii="仿宋" w:hAnsi="仿宋" w:eastAsia="仿宋" w:cs="仿宋"/>
                <w:sz w:val="20"/>
              </w:rPr>
            </w:pPr>
            <w:r>
              <w:rPr>
                <w:rFonts w:hint="eastAsia" w:ascii="仿宋" w:hAnsi="仿宋" w:eastAsia="仿宋" w:cs="仿宋"/>
              </w:rPr>
              <w:t>公开09表</w:t>
            </w:r>
          </w:p>
        </w:tc>
      </w:tr>
      <w:tr>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pPr>
              <w:pStyle w:val="22"/>
              <w:rPr>
                <w:rFonts w:hint="eastAsia"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rPr>
              <w:t>宜兴市人民检察院</w:t>
            </w:r>
          </w:p>
        </w:tc>
        <w:tc>
          <w:tcPr>
            <w:tcW w:w="8274" w:type="dxa"/>
            <w:gridSpan w:val="8"/>
            <w:tcBorders>
              <w:bottom w:val="single" w:color="auto" w:sz="4" w:space="0"/>
            </w:tcBorders>
          </w:tcPr>
          <w:p>
            <w:pPr>
              <w:pStyle w:val="22"/>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pPr>
              <w:pStyle w:val="22"/>
              <w:jc w:val="center"/>
              <w:rPr>
                <w:rFonts w:hint="eastAsia" w:ascii="仿宋" w:hAnsi="仿宋" w:eastAsia="仿宋" w:cs="仿宋"/>
              </w:rPr>
            </w:pPr>
            <w:r>
              <w:rPr>
                <w:rFonts w:hint="eastAsia" w:ascii="仿宋" w:hAnsi="仿宋" w:eastAsia="仿宋" w:cs="仿宋"/>
                <w:lang w:val="en-US"/>
              </w:rPr>
              <w:t>预算数</w:t>
            </w:r>
          </w:p>
        </w:tc>
        <w:tc>
          <w:tcPr>
            <w:tcW w:w="8274" w:type="dxa"/>
            <w:gridSpan w:val="8"/>
            <w:tcBorders>
              <w:top w:val="single" w:color="auto" w:sz="4" w:space="0"/>
              <w:left w:val="single" w:color="auto" w:sz="4" w:space="0"/>
              <w:bottom w:val="single" w:color="auto" w:sz="4" w:space="0"/>
              <w:right w:val="single" w:color="auto" w:sz="4" w:space="0"/>
            </w:tcBorders>
          </w:tcPr>
          <w:p>
            <w:pPr>
              <w:pStyle w:val="22"/>
              <w:jc w:val="center"/>
              <w:rPr>
                <w:rFonts w:hint="eastAsia" w:ascii="仿宋" w:hAnsi="仿宋" w:eastAsia="仿宋" w:cs="仿宋"/>
                <w:lang w:val="en-US"/>
              </w:rPr>
            </w:pPr>
            <w:r>
              <w:rPr>
                <w:rFonts w:hint="eastAsia" w:ascii="仿宋" w:hAnsi="仿宋" w:eastAsia="仿宋" w:cs="仿宋"/>
                <w:lang w:val="en-US"/>
              </w:rPr>
              <w:t>决算数</w:t>
            </w:r>
          </w:p>
        </w:tc>
      </w:tr>
      <w:tr>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培训费</w:t>
            </w:r>
          </w:p>
        </w:tc>
      </w:tr>
      <w:tr>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公务</w:t>
            </w:r>
          </w:p>
          <w:p>
            <w:pPr>
              <w:pStyle w:val="22"/>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pPr>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pPr>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pPr>
              <w:pStyle w:val="22"/>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pPr>
              <w:pStyle w:val="22"/>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公务</w:t>
            </w:r>
          </w:p>
          <w:p>
            <w:pPr>
              <w:pStyle w:val="22"/>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pPr>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pPr>
              <w:jc w:val="center"/>
              <w:rPr>
                <w:rFonts w:hint="eastAsia" w:ascii="仿宋" w:hAnsi="仿宋" w:eastAsia="仿宋" w:cs="仿宋"/>
                <w:sz w:val="20"/>
              </w:rPr>
            </w:pPr>
          </w:p>
        </w:tc>
      </w:tr>
      <w:tr>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pPr>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pPr>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ascii="仿宋" w:hAnsi="仿宋" w:eastAsia="仿宋" w:cs="仿宋"/>
                <w:u w:color="auto"/>
              </w:rPr>
              <w:t>小计</w:t>
            </w:r>
          </w:p>
        </w:tc>
        <w:tc>
          <w:tcPr>
            <w:tcW w:w="1029"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pPr>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tcPr>
          <w:p>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sz w:val="2"/>
                <w:szCs w:val="2"/>
              </w:rPr>
            </w:pPr>
            <w:r>
              <w:rPr>
                <w:rFonts w:ascii="仿宋" w:hAnsi="仿宋" w:eastAsia="仿宋" w:cs="仿宋"/>
                <w:u w:color="auto"/>
              </w:rPr>
              <w:t>小计</w:t>
            </w:r>
          </w:p>
        </w:tc>
        <w:tc>
          <w:tcPr>
            <w:tcW w:w="1089"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tcPr>
          <w:p>
            <w:pPr>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tcPr>
          <w:p>
            <w:pPr>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tcPr>
          <w:p>
            <w:pPr>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32.56</w:t>
            </w:r>
          </w:p>
        </w:tc>
        <w:tc>
          <w:tcPr>
            <w:tcW w:w="1042"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26.16</w:t>
            </w:r>
          </w:p>
        </w:tc>
        <w:tc>
          <w:tcPr>
            <w:tcW w:w="1029"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26.16</w:t>
            </w:r>
          </w:p>
        </w:tc>
        <w:tc>
          <w:tcPr>
            <w:tcW w:w="1026"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6.40</w:t>
            </w:r>
          </w:p>
        </w:tc>
        <w:tc>
          <w:tcPr>
            <w:tcW w:w="1043"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15.00</w:t>
            </w:r>
          </w:p>
        </w:tc>
        <w:tc>
          <w:tcPr>
            <w:tcW w:w="1058"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30.58</w:t>
            </w:r>
          </w:p>
        </w:tc>
        <w:tc>
          <w:tcPr>
            <w:tcW w:w="1010"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26.16</w:t>
            </w:r>
          </w:p>
        </w:tc>
        <w:tc>
          <w:tcPr>
            <w:tcW w:w="1089"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26.16</w:t>
            </w:r>
          </w:p>
        </w:tc>
        <w:tc>
          <w:tcPr>
            <w:tcW w:w="1043"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4.42</w:t>
            </w:r>
          </w:p>
        </w:tc>
        <w:tc>
          <w:tcPr>
            <w:tcW w:w="1057"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7"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13.82</w:t>
            </w:r>
          </w:p>
        </w:tc>
      </w:tr>
    </w:tbl>
    <w:p>
      <w:pPr>
        <w:spacing w:before="30" w:after="33"/>
        <w:ind w:left="220" w:leftChars="100"/>
        <w:rPr>
          <w:rFonts w:hint="eastAsia" w:ascii="仿宋" w:hAnsi="仿宋" w:eastAsia="仿宋" w:cs="仿宋"/>
        </w:rPr>
      </w:pPr>
      <w:r>
        <w:rPr>
          <w:rFonts w:hint="eastAsia" w:ascii="仿宋" w:hAnsi="仿宋" w:eastAsia="仿宋" w:cs="仿宋"/>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rPr>
            </w:pPr>
            <w:r>
              <w:rPr>
                <w:rFonts w:ascii="仿宋" w:hAnsi="仿宋" w:eastAsia="仿宋" w:cs="仿宋"/>
                <w:u w:color="auto"/>
              </w:rPr>
              <w:t>项目</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统计数</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项目</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统计数</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0.00</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0.00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0.00</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19.00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38.00</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154.00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0.00</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0.00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0.00</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0.00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6.00</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298.00</w:t>
            </w:r>
          </w:p>
        </w:tc>
      </w:tr>
    </w:tbl>
    <w:p>
      <w:pPr>
        <w:ind w:right="-2"/>
        <w:jc w:val="both"/>
        <w:rPr>
          <w:rFonts w:hint="eastAsia" w:ascii="仿宋" w:hAnsi="仿宋" w:eastAsia="仿宋" w:cs="仿宋"/>
        </w:rPr>
      </w:pPr>
      <w:r>
        <w:rPr>
          <w:rFonts w:hint="eastAsia" w:ascii="仿宋" w:hAnsi="仿宋" w:eastAsia="仿宋" w:cs="仿宋"/>
        </w:rPr>
        <w:t>注：</w:t>
      </w:r>
      <w:r>
        <w:rPr>
          <w:rFonts w:hint="eastAsia" w:ascii="仿宋" w:hAnsi="仿宋" w:eastAsia="仿宋" w:cs="仿宋"/>
          <w:lang w:val="en-US"/>
        </w:rPr>
        <w:t>本表反映本年度财政拨款“三公”经费、会议费和培训费支出情况。其中，预算数为全年预算数，反映按规定程序调整后的预算数；决算数是包括当年财政拨款和以前年度结转资金安排的实际支出。本表金额单位转换时可能存在尾数误差</w:t>
      </w:r>
      <w:r>
        <w:rPr>
          <w:rFonts w:hint="eastAsia" w:ascii="仿宋" w:hAnsi="仿宋" w:eastAsia="仿宋" w:cs="仿宋"/>
        </w:rPr>
        <w:t>。</w:t>
      </w:r>
    </w:p>
    <w:p>
      <w:pPr>
        <w:ind w:left="227" w:firstLine="220" w:firstLineChars="100"/>
        <w:jc w:val="both"/>
        <w:rPr>
          <w:rFonts w:hint="eastAsia" w:ascii="仿宋" w:hAnsi="仿宋" w:eastAsia="仿宋" w:cs="仿宋"/>
        </w:rPr>
        <w:sectPr>
          <w:footerReference r:id="rId15" w:type="default"/>
          <w:pgSz w:w="16838" w:h="11906" w:orient="landscape"/>
          <w:pgMar w:top="720" w:right="153" w:bottom="720" w:left="153" w:header="170" w:footer="280" w:gutter="0"/>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tblPrEx>
          <w:tblCellMar>
            <w:top w:w="55" w:type="dxa"/>
            <w:left w:w="55" w:type="dxa"/>
            <w:bottom w:w="55" w:type="dxa"/>
            <w:right w:w="55" w:type="dxa"/>
          </w:tblCellMar>
        </w:tblPrEx>
        <w:trPr>
          <w:trHeight w:val="395" w:hRule="atLeast"/>
        </w:trPr>
        <w:tc>
          <w:tcPr>
            <w:tcW w:w="15400" w:type="dxa"/>
            <w:gridSpan w:val="5"/>
            <w:vAlign w:val="center"/>
          </w:tcPr>
          <w:p>
            <w:pPr>
              <w:pStyle w:val="22"/>
              <w:jc w:val="center"/>
              <w:rPr>
                <w:rFonts w:hint="eastAsia" w:ascii="仿宋" w:hAnsi="仿宋" w:eastAsia="仿宋" w:cs="仿宋"/>
                <w:b/>
                <w:bCs/>
                <w:sz w:val="44"/>
                <w:szCs w:val="44"/>
              </w:rPr>
            </w:pPr>
            <w:r>
              <w:rPr>
                <w:rFonts w:hint="eastAsia"/>
                <w:b/>
                <w:bCs/>
                <w:color w:val="000000"/>
                <w:sz w:val="36"/>
                <w:szCs w:val="36"/>
                <w:lang w:eastAsia="ar-SA"/>
              </w:rPr>
              <w:t>政府性基金预算支出决算表</w:t>
            </w:r>
          </w:p>
        </w:tc>
      </w:tr>
      <w:tr>
        <w:tblPrEx>
          <w:tblCellMar>
            <w:top w:w="55" w:type="dxa"/>
            <w:left w:w="55" w:type="dxa"/>
            <w:bottom w:w="55" w:type="dxa"/>
            <w:right w:w="55" w:type="dxa"/>
          </w:tblCellMar>
        </w:tblPrEx>
        <w:trPr>
          <w:trHeight w:val="323" w:hRule="atLeast"/>
        </w:trPr>
        <w:tc>
          <w:tcPr>
            <w:tcW w:w="8426" w:type="dxa"/>
            <w:gridSpan w:val="2"/>
          </w:tcPr>
          <w:p>
            <w:pPr>
              <w:pStyle w:val="22"/>
              <w:rPr>
                <w:rFonts w:hint="eastAsia" w:ascii="仿宋" w:hAnsi="仿宋" w:eastAsia="仿宋" w:cs="仿宋"/>
                <w:sz w:val="20"/>
              </w:rPr>
            </w:pPr>
          </w:p>
        </w:tc>
        <w:tc>
          <w:tcPr>
            <w:tcW w:w="2684" w:type="dxa"/>
          </w:tcPr>
          <w:p>
            <w:pPr>
              <w:pStyle w:val="22"/>
              <w:rPr>
                <w:rFonts w:hint="eastAsia" w:ascii="仿宋" w:hAnsi="仿宋" w:eastAsia="仿宋" w:cs="仿宋"/>
                <w:sz w:val="27"/>
              </w:rPr>
            </w:pPr>
          </w:p>
        </w:tc>
        <w:tc>
          <w:tcPr>
            <w:tcW w:w="2432" w:type="dxa"/>
          </w:tcPr>
          <w:p>
            <w:pPr>
              <w:pStyle w:val="22"/>
              <w:rPr>
                <w:rFonts w:hint="eastAsia" w:ascii="仿宋" w:hAnsi="仿宋" w:eastAsia="仿宋" w:cs="仿宋"/>
                <w:sz w:val="20"/>
              </w:rPr>
            </w:pPr>
          </w:p>
        </w:tc>
        <w:tc>
          <w:tcPr>
            <w:tcW w:w="1858" w:type="dxa"/>
            <w:vAlign w:val="center"/>
          </w:tcPr>
          <w:p>
            <w:pPr>
              <w:pStyle w:val="22"/>
              <w:jc w:val="right"/>
              <w:rPr>
                <w:rFonts w:hint="eastAsia" w:ascii="仿宋" w:hAnsi="仿宋" w:eastAsia="仿宋" w:cs="仿宋"/>
                <w:sz w:val="27"/>
              </w:rPr>
            </w:pPr>
            <w:r>
              <w:rPr>
                <w:rFonts w:hint="eastAsia" w:ascii="仿宋" w:hAnsi="仿宋" w:eastAsia="仿宋" w:cs="仿宋"/>
              </w:rPr>
              <w:t>公开10表</w:t>
            </w:r>
          </w:p>
        </w:tc>
      </w:tr>
      <w:tr>
        <w:tblPrEx>
          <w:tblCellMar>
            <w:top w:w="55" w:type="dxa"/>
            <w:left w:w="55" w:type="dxa"/>
            <w:bottom w:w="55" w:type="dxa"/>
            <w:right w:w="55" w:type="dxa"/>
          </w:tblCellMar>
        </w:tblPrEx>
        <w:trPr>
          <w:trHeight w:val="152" w:hRule="atLeast"/>
        </w:trPr>
        <w:tc>
          <w:tcPr>
            <w:tcW w:w="13542" w:type="dxa"/>
            <w:gridSpan w:val="4"/>
            <w:vAlign w:val="center"/>
          </w:tcPr>
          <w:p>
            <w:pPr>
              <w:pStyle w:val="22"/>
              <w:rPr>
                <w:rFonts w:hint="eastAsia"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rPr>
              <w:t>宜兴市人民检察院</w:t>
            </w:r>
          </w:p>
        </w:tc>
        <w:tc>
          <w:tcPr>
            <w:tcW w:w="1858" w:type="dxa"/>
            <w:vAlign w:val="center"/>
          </w:tcPr>
          <w:p>
            <w:pPr>
              <w:pStyle w:val="22"/>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功能分类</w:t>
            </w:r>
          </w:p>
          <w:p>
            <w:pPr>
              <w:pStyle w:val="22"/>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pPr>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pPr>
              <w:pStyle w:val="22"/>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pPr>
              <w:pStyle w:val="22"/>
              <w:jc w:val="center"/>
              <w:rPr>
                <w:rFonts w:hint="eastAsia" w:ascii="仿宋" w:hAnsi="仿宋" w:eastAsia="仿宋" w:cs="仿宋"/>
                <w:lang w:val="en-US"/>
              </w:rPr>
            </w:pPr>
            <w:r>
              <w:rPr>
                <w:rFonts w:hint="eastAsia" w:ascii="仿宋" w:hAnsi="仿宋" w:eastAsia="仿宋" w:cs="仿宋"/>
                <w:lang w:val="en-US"/>
              </w:rPr>
              <w:t>1</w:t>
            </w:r>
          </w:p>
        </w:tc>
        <w:tc>
          <w:tcPr>
            <w:tcW w:w="2432"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lang w:val="en-US"/>
              </w:rPr>
            </w:pPr>
            <w:r>
              <w:rPr>
                <w:rFonts w:hint="eastAsia" w:ascii="仿宋" w:hAnsi="仿宋" w:eastAsia="仿宋" w:cs="仿宋"/>
                <w:lang w:val="en-US"/>
              </w:rPr>
              <w:t>3</w:t>
            </w:r>
          </w:p>
        </w:tc>
      </w:tr>
      <w:tr>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pPr>
              <w:pStyle w:val="22"/>
              <w:jc w:val="right"/>
              <w:rPr>
                <w:rFonts w:hint="eastAsia" w:ascii="仿宋" w:hAnsi="仿宋" w:eastAsia="仿宋" w:cs="仿宋"/>
                <w:sz w:val="22"/>
                <w:szCs w:val="22"/>
              </w:rPr>
            </w:pPr>
          </w:p>
        </w:tc>
        <w:tc>
          <w:tcPr>
            <w:tcW w:w="2432" w:type="dxa"/>
            <w:tcBorders>
              <w:left w:val="single" w:color="000000" w:sz="4" w:space="0"/>
              <w:bottom w:val="single" w:color="000000" w:sz="4" w:space="0"/>
            </w:tcBorders>
            <w:vAlign w:val="center"/>
          </w:tcPr>
          <w:p>
            <w:pPr>
              <w:pStyle w:val="22"/>
              <w:jc w:val="right"/>
              <w:rPr>
                <w:rFonts w:hint="eastAsia" w:ascii="仿宋" w:hAnsi="仿宋" w:eastAsia="仿宋" w:cs="仿宋"/>
                <w:sz w:val="22"/>
                <w:szCs w:val="22"/>
              </w:rPr>
            </w:pPr>
          </w:p>
        </w:tc>
        <w:tc>
          <w:tcPr>
            <w:tcW w:w="1858"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bl>
    <w:p>
      <w:pPr>
        <w:spacing w:before="25"/>
        <w:jc w:val="both"/>
        <w:rPr>
          <w:rFonts w:hint="eastAsia" w:ascii="仿宋" w:hAnsi="仿宋" w:eastAsia="仿宋" w:cs="仿宋"/>
        </w:rPr>
      </w:pPr>
      <w:r>
        <w:rPr>
          <w:rFonts w:hint="eastAsia" w:ascii="仿宋" w:hAnsi="仿宋" w:eastAsia="仿宋" w:cs="仿宋"/>
        </w:rPr>
        <w:t>注：本表反映本年度政府性基金预算财政拨款支出情况。</w:t>
      </w:r>
    </w:p>
    <w:p>
      <w:pPr>
        <w:spacing w:before="25"/>
        <w:ind w:left="440" w:leftChars="200"/>
        <w:jc w:val="both"/>
        <w:rPr>
          <w:rFonts w:hint="eastAsia" w:ascii="仿宋" w:hAnsi="仿宋" w:eastAsia="仿宋" w:cs="仿宋"/>
          <w:lang w:val="en-US"/>
        </w:rPr>
      </w:pPr>
      <w:r>
        <w:rPr>
          <w:rFonts w:ascii="仿宋" w:hAnsi="仿宋" w:eastAsia="仿宋" w:cs="仿宋"/>
          <w:u w:color="auto"/>
        </w:rPr>
        <w:t>本部门无政府性基金预算收入支出决算，故本表为空。</w:t>
      </w:r>
    </w:p>
    <w:p>
      <w:pPr>
        <w:spacing w:before="25"/>
        <w:jc w:val="both"/>
        <w:rPr>
          <w:rFonts w:hint="eastAsia" w:ascii="仿宋" w:hAnsi="仿宋" w:eastAsia="仿宋" w:cs="仿宋"/>
          <w:lang w:val="en-US"/>
        </w:rPr>
        <w:sectPr>
          <w:footerReference r:id="rId16"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tblPrEx>
          <w:tblCellMar>
            <w:top w:w="55" w:type="dxa"/>
            <w:left w:w="55" w:type="dxa"/>
            <w:bottom w:w="55" w:type="dxa"/>
            <w:right w:w="55" w:type="dxa"/>
          </w:tblCellMar>
        </w:tblPrEx>
        <w:trPr>
          <w:trHeight w:val="395" w:hRule="atLeast"/>
        </w:trPr>
        <w:tc>
          <w:tcPr>
            <w:tcW w:w="15400" w:type="dxa"/>
            <w:gridSpan w:val="5"/>
            <w:vAlign w:val="center"/>
          </w:tcPr>
          <w:p>
            <w:pPr>
              <w:pStyle w:val="22"/>
              <w:jc w:val="center"/>
              <w:rPr>
                <w:rFonts w:hint="eastAsia" w:ascii="仿宋" w:hAnsi="仿宋" w:eastAsia="仿宋" w:cs="仿宋"/>
                <w:b/>
                <w:bCs/>
                <w:sz w:val="44"/>
                <w:szCs w:val="44"/>
              </w:rPr>
            </w:pPr>
            <w:r>
              <w:rPr>
                <w:rFonts w:hint="eastAsia"/>
                <w:b/>
                <w:bCs/>
                <w:color w:val="000000"/>
                <w:sz w:val="36"/>
                <w:szCs w:val="36"/>
                <w:lang w:eastAsia="ar-SA"/>
              </w:rPr>
              <w:t>国有资本经营预算支出决算表</w:t>
            </w:r>
          </w:p>
        </w:tc>
      </w:tr>
      <w:tr>
        <w:tblPrEx>
          <w:tblCellMar>
            <w:top w:w="55" w:type="dxa"/>
            <w:left w:w="55" w:type="dxa"/>
            <w:bottom w:w="55" w:type="dxa"/>
            <w:right w:w="55" w:type="dxa"/>
          </w:tblCellMar>
        </w:tblPrEx>
        <w:trPr>
          <w:trHeight w:val="323" w:hRule="atLeast"/>
        </w:trPr>
        <w:tc>
          <w:tcPr>
            <w:tcW w:w="8520" w:type="dxa"/>
            <w:gridSpan w:val="2"/>
          </w:tcPr>
          <w:p>
            <w:pPr>
              <w:pStyle w:val="22"/>
              <w:rPr>
                <w:rFonts w:hint="eastAsia" w:ascii="仿宋" w:hAnsi="仿宋" w:eastAsia="仿宋" w:cs="仿宋"/>
                <w:sz w:val="20"/>
              </w:rPr>
            </w:pPr>
          </w:p>
        </w:tc>
        <w:tc>
          <w:tcPr>
            <w:tcW w:w="2510" w:type="dxa"/>
          </w:tcPr>
          <w:p>
            <w:pPr>
              <w:pStyle w:val="22"/>
              <w:rPr>
                <w:rFonts w:hint="eastAsia" w:ascii="仿宋" w:hAnsi="仿宋" w:eastAsia="仿宋" w:cs="仿宋"/>
                <w:sz w:val="27"/>
              </w:rPr>
            </w:pPr>
          </w:p>
        </w:tc>
        <w:tc>
          <w:tcPr>
            <w:tcW w:w="2309" w:type="dxa"/>
          </w:tcPr>
          <w:p>
            <w:pPr>
              <w:pStyle w:val="22"/>
              <w:rPr>
                <w:rFonts w:hint="eastAsia" w:ascii="仿宋" w:hAnsi="仿宋" w:eastAsia="仿宋" w:cs="仿宋"/>
                <w:sz w:val="20"/>
              </w:rPr>
            </w:pPr>
          </w:p>
        </w:tc>
        <w:tc>
          <w:tcPr>
            <w:tcW w:w="2061" w:type="dxa"/>
            <w:vAlign w:val="center"/>
          </w:tcPr>
          <w:p>
            <w:pPr>
              <w:pStyle w:val="22"/>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rPr>
              <w:t>1</w:t>
            </w:r>
            <w:r>
              <w:rPr>
                <w:rFonts w:hint="eastAsia" w:ascii="仿宋" w:hAnsi="仿宋" w:eastAsia="仿宋" w:cs="仿宋"/>
              </w:rPr>
              <w:t>表</w:t>
            </w:r>
          </w:p>
        </w:tc>
      </w:tr>
      <w:tr>
        <w:tblPrEx>
          <w:tblCellMar>
            <w:top w:w="55" w:type="dxa"/>
            <w:left w:w="55" w:type="dxa"/>
            <w:bottom w:w="55" w:type="dxa"/>
            <w:right w:w="55" w:type="dxa"/>
          </w:tblCellMar>
        </w:tblPrEx>
        <w:trPr>
          <w:trHeight w:val="152" w:hRule="atLeast"/>
        </w:trPr>
        <w:tc>
          <w:tcPr>
            <w:tcW w:w="13339" w:type="dxa"/>
            <w:gridSpan w:val="4"/>
            <w:vAlign w:val="center"/>
          </w:tcPr>
          <w:p>
            <w:pPr>
              <w:pStyle w:val="22"/>
              <w:rPr>
                <w:rFonts w:hint="eastAsia"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rPr>
              <w:t>宜兴市人民检察院</w:t>
            </w:r>
          </w:p>
        </w:tc>
        <w:tc>
          <w:tcPr>
            <w:tcW w:w="2061" w:type="dxa"/>
            <w:vAlign w:val="center"/>
          </w:tcPr>
          <w:p>
            <w:pPr>
              <w:pStyle w:val="22"/>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功能分类</w:t>
            </w:r>
          </w:p>
          <w:p>
            <w:pPr>
              <w:pStyle w:val="22"/>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pPr>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pPr>
              <w:pStyle w:val="22"/>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pPr>
              <w:pStyle w:val="22"/>
              <w:jc w:val="center"/>
              <w:rPr>
                <w:rFonts w:hint="eastAsia" w:ascii="仿宋" w:hAnsi="仿宋" w:eastAsia="仿宋" w:cs="仿宋"/>
                <w:lang w:val="en-US"/>
              </w:rPr>
            </w:pPr>
            <w:r>
              <w:rPr>
                <w:rFonts w:hint="eastAsia" w:ascii="仿宋" w:hAnsi="仿宋" w:eastAsia="仿宋" w:cs="仿宋"/>
                <w:lang w:val="en-US"/>
              </w:rPr>
              <w:t>1</w:t>
            </w:r>
          </w:p>
        </w:tc>
        <w:tc>
          <w:tcPr>
            <w:tcW w:w="2309"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lang w:val="en-US"/>
              </w:rPr>
            </w:pPr>
            <w:r>
              <w:rPr>
                <w:rFonts w:hint="eastAsia" w:ascii="仿宋" w:hAnsi="仿宋" w:eastAsia="仿宋" w:cs="仿宋"/>
                <w:lang w:val="en-US"/>
              </w:rPr>
              <w:t>3</w:t>
            </w:r>
          </w:p>
        </w:tc>
      </w:tr>
      <w:tr>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pPr>
              <w:pStyle w:val="22"/>
              <w:jc w:val="right"/>
              <w:rPr>
                <w:rFonts w:hint="eastAsia" w:ascii="仿宋" w:hAnsi="仿宋" w:eastAsia="仿宋" w:cs="仿宋"/>
                <w:sz w:val="22"/>
                <w:szCs w:val="22"/>
              </w:rPr>
            </w:pPr>
          </w:p>
        </w:tc>
        <w:tc>
          <w:tcPr>
            <w:tcW w:w="2309" w:type="dxa"/>
            <w:tcBorders>
              <w:left w:val="single" w:color="000000" w:sz="4" w:space="0"/>
              <w:bottom w:val="single" w:color="000000" w:sz="4" w:space="0"/>
            </w:tcBorders>
            <w:vAlign w:val="center"/>
          </w:tcPr>
          <w:p>
            <w:pPr>
              <w:pStyle w:val="22"/>
              <w:jc w:val="right"/>
              <w:rPr>
                <w:rFonts w:hint="eastAsia" w:ascii="仿宋" w:hAnsi="仿宋" w:eastAsia="仿宋" w:cs="仿宋"/>
                <w:sz w:val="22"/>
                <w:szCs w:val="22"/>
              </w:rPr>
            </w:pPr>
          </w:p>
        </w:tc>
        <w:tc>
          <w:tcPr>
            <w:tcW w:w="2061"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bl>
    <w:p>
      <w:pPr>
        <w:jc w:val="both"/>
        <w:rPr>
          <w:rFonts w:hint="eastAsia" w:ascii="仿宋" w:hAnsi="仿宋" w:eastAsia="仿宋" w:cs="仿宋"/>
        </w:rPr>
      </w:pPr>
      <w:r>
        <w:rPr>
          <w:rFonts w:hint="eastAsia" w:ascii="仿宋" w:hAnsi="仿宋" w:eastAsia="仿宋" w:cs="仿宋"/>
        </w:rPr>
        <w:t>注：本表反映本年度国有资本经营预算财政拨款支出情况。</w:t>
      </w:r>
    </w:p>
    <w:p>
      <w:pPr>
        <w:ind w:left="440" w:leftChars="200"/>
        <w:jc w:val="both"/>
        <w:rPr>
          <w:rFonts w:hint="eastAsia" w:ascii="仿宋" w:hAnsi="仿宋" w:eastAsia="仿宋" w:cs="仿宋"/>
          <w:lang w:val="en-US"/>
        </w:rPr>
      </w:pPr>
      <w:r>
        <w:rPr>
          <w:rFonts w:ascii="仿宋" w:hAnsi="仿宋" w:eastAsia="仿宋" w:cs="仿宋"/>
          <w:u w:color="auto"/>
        </w:rPr>
        <w:t>本部门无</w:t>
      </w:r>
      <w:r>
        <w:rPr>
          <w:rFonts w:hint="eastAsia" w:ascii="仿宋" w:hAnsi="仿宋" w:eastAsia="仿宋" w:cs="仿宋"/>
        </w:rPr>
        <w:t>国有资本经营预算支出</w:t>
      </w:r>
      <w:r>
        <w:rPr>
          <w:rFonts w:hint="eastAsia" w:ascii="仿宋" w:hAnsi="仿宋" w:eastAsia="仿宋" w:cs="仿宋"/>
          <w:lang w:val="en-US"/>
        </w:rPr>
        <w:t>决算，故本表为空。</w:t>
      </w:r>
    </w:p>
    <w:p>
      <w:pPr>
        <w:spacing w:before="25"/>
        <w:ind w:left="-220" w:leftChars="-100"/>
        <w:jc w:val="both"/>
        <w:rPr>
          <w:rFonts w:hint="eastAsia" w:ascii="仿宋" w:hAnsi="仿宋" w:eastAsia="仿宋" w:cs="仿宋"/>
          <w:lang w:val="en-US"/>
        </w:rPr>
        <w:sectPr>
          <w:pgSz w:w="16838" w:h="11906" w:orient="landscape"/>
          <w:pgMar w:top="720" w:right="720" w:bottom="720" w:left="720" w:header="170" w:footer="280" w:gutter="0"/>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tblPrEx>
          <w:tblCellMar>
            <w:top w:w="55" w:type="dxa"/>
            <w:left w:w="55" w:type="dxa"/>
            <w:bottom w:w="55" w:type="dxa"/>
            <w:right w:w="55" w:type="dxa"/>
          </w:tblCellMar>
        </w:tblPrEx>
        <w:trPr>
          <w:trHeight w:val="319" w:hRule="atLeast"/>
        </w:trPr>
        <w:tc>
          <w:tcPr>
            <w:tcW w:w="10466" w:type="dxa"/>
            <w:gridSpan w:val="3"/>
          </w:tcPr>
          <w:p>
            <w:pPr>
              <w:pStyle w:val="22"/>
              <w:tabs>
                <w:tab w:val="left" w:pos="610"/>
              </w:tabs>
              <w:spacing w:before="28"/>
              <w:ind w:left="8"/>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机关运行经费支出决算表</w:t>
            </w:r>
          </w:p>
        </w:tc>
      </w:tr>
      <w:tr>
        <w:tblPrEx>
          <w:tblCellMar>
            <w:top w:w="55" w:type="dxa"/>
            <w:left w:w="55" w:type="dxa"/>
            <w:bottom w:w="55" w:type="dxa"/>
            <w:right w:w="55" w:type="dxa"/>
          </w:tblCellMar>
        </w:tblPrEx>
        <w:trPr>
          <w:trHeight w:val="90" w:hRule="atLeast"/>
        </w:trPr>
        <w:tc>
          <w:tcPr>
            <w:tcW w:w="6632" w:type="dxa"/>
            <w:gridSpan w:val="2"/>
          </w:tcPr>
          <w:p>
            <w:pPr>
              <w:pStyle w:val="22"/>
              <w:rPr>
                <w:rFonts w:hint="eastAsia" w:ascii="仿宋" w:hAnsi="仿宋" w:eastAsia="仿宋" w:cs="仿宋"/>
                <w:sz w:val="20"/>
              </w:rPr>
            </w:pPr>
          </w:p>
        </w:tc>
        <w:tc>
          <w:tcPr>
            <w:tcW w:w="3834" w:type="dxa"/>
            <w:vAlign w:val="center"/>
          </w:tcPr>
          <w:p>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6632" w:type="dxa"/>
            <w:gridSpan w:val="2"/>
            <w:vAlign w:val="center"/>
          </w:tcPr>
          <w:p>
            <w:pPr>
              <w:pStyle w:val="22"/>
              <w:rPr>
                <w:rFonts w:hint="eastAsia"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rPr>
              <w:t>宜兴市人民检察院</w:t>
            </w:r>
          </w:p>
        </w:tc>
        <w:tc>
          <w:tcPr>
            <w:tcW w:w="3834" w:type="dxa"/>
            <w:vAlign w:val="center"/>
          </w:tcPr>
          <w:p>
            <w:pPr>
              <w:pStyle w:val="22"/>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机关运行经费支出决算</w:t>
            </w:r>
          </w:p>
        </w:tc>
      </w:tr>
      <w:tr>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科目编码</w:t>
            </w:r>
          </w:p>
        </w:tc>
        <w:tc>
          <w:tcPr>
            <w:tcW w:w="4990"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3834"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合计</w:t>
            </w:r>
          </w:p>
        </w:tc>
        <w:tc>
          <w:tcPr>
            <w:tcW w:w="3834"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313.17</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313.17</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45.00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2.50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45.00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10.00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30.00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4.42</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19.60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40.48</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26.16</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74.49</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15.52</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bl>
    <w:p>
      <w:pPr>
        <w:spacing w:before="25"/>
        <w:ind w:right="-92" w:rightChars="-42"/>
        <w:jc w:val="both"/>
        <w:rPr>
          <w:rFonts w:hint="eastAsia" w:ascii="仿宋" w:hAnsi="仿宋" w:eastAsia="仿宋" w:cs="仿宋"/>
          <w:lang w:val="en-US"/>
        </w:rPr>
      </w:pPr>
      <w:r>
        <w:rPr>
          <w:rFonts w:hint="eastAsia" w:ascii="仿宋" w:hAnsi="仿宋" w:eastAsia="仿宋" w:cs="仿宋"/>
        </w:rPr>
        <w:t>注：“机关运行经费” 指行政单位（含参照公务员法管理的事业单位）使用</w:t>
      </w:r>
      <w:r>
        <w:rPr>
          <w:rFonts w:hint="eastAsia" w:ascii="仿宋" w:hAnsi="仿宋" w:eastAsia="仿宋" w:cs="仿宋"/>
          <w:lang w:val="en-US"/>
        </w:rPr>
        <w:t>财政拨款</w:t>
      </w:r>
      <w:r>
        <w:rPr>
          <w:rFonts w:hint="eastAsia" w:ascii="仿宋" w:hAnsi="仿宋" w:eastAsia="仿宋" w:cs="仿宋"/>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本表金额单位转换时可能存在尾数误差。</w:t>
      </w:r>
    </w:p>
    <w:p>
      <w:pPr>
        <w:tabs>
          <w:tab w:val="left" w:pos="440"/>
        </w:tabs>
        <w:spacing w:before="25"/>
        <w:ind w:left="440" w:leftChars="200"/>
        <w:jc w:val="both"/>
        <w:rPr>
          <w:rFonts w:hint="eastAsia" w:ascii="仿宋" w:hAnsi="仿宋" w:eastAsia="仿宋" w:cs="仿宋"/>
          <w:lang w:val="en-US"/>
        </w:rPr>
        <w:sectPr>
          <w:footerReference r:id="rId17" w:type="default"/>
          <w:type w:val="continuous"/>
          <w:pgSz w:w="11906" w:h="16838"/>
          <w:pgMar w:top="720" w:right="720" w:bottom="720" w:left="720" w:header="170" w:footer="280" w:gutter="0"/>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tblPrEx>
          <w:tblCellMar>
            <w:top w:w="55" w:type="dxa"/>
            <w:left w:w="55" w:type="dxa"/>
            <w:bottom w:w="55" w:type="dxa"/>
            <w:right w:w="55" w:type="dxa"/>
          </w:tblCellMar>
        </w:tblPrEx>
        <w:trPr>
          <w:trHeight w:val="333" w:hRule="atLeast"/>
        </w:trPr>
        <w:tc>
          <w:tcPr>
            <w:tcW w:w="10459" w:type="dxa"/>
            <w:gridSpan w:val="4"/>
            <w:vAlign w:val="center"/>
          </w:tcPr>
          <w:p>
            <w:pPr>
              <w:pStyle w:val="22"/>
              <w:jc w:val="center"/>
              <w:rPr>
                <w:rFonts w:hint="eastAsia" w:ascii="仿宋" w:hAnsi="仿宋" w:eastAsia="仿宋" w:cs="仿宋"/>
                <w:b/>
                <w:bCs/>
                <w:sz w:val="44"/>
                <w:szCs w:val="44"/>
              </w:rPr>
            </w:pPr>
            <w:r>
              <w:rPr>
                <w:rFonts w:hint="eastAsia"/>
                <w:b/>
                <w:bCs/>
                <w:color w:val="000000"/>
                <w:sz w:val="36"/>
                <w:szCs w:val="36"/>
                <w:lang w:eastAsia="ar-SA"/>
              </w:rPr>
              <w:t>政府采购支出决算表</w:t>
            </w:r>
          </w:p>
        </w:tc>
      </w:tr>
      <w:tr>
        <w:tblPrEx>
          <w:tblCellMar>
            <w:top w:w="55" w:type="dxa"/>
            <w:left w:w="55" w:type="dxa"/>
            <w:bottom w:w="55" w:type="dxa"/>
            <w:right w:w="55" w:type="dxa"/>
          </w:tblCellMar>
        </w:tblPrEx>
        <w:trPr>
          <w:trHeight w:val="333" w:hRule="atLeast"/>
        </w:trPr>
        <w:tc>
          <w:tcPr>
            <w:tcW w:w="4472" w:type="dxa"/>
          </w:tcPr>
          <w:p>
            <w:pPr>
              <w:pStyle w:val="22"/>
              <w:rPr>
                <w:rFonts w:hint="eastAsia" w:ascii="仿宋" w:hAnsi="仿宋" w:eastAsia="仿宋" w:cs="仿宋"/>
              </w:rPr>
            </w:pPr>
          </w:p>
        </w:tc>
        <w:tc>
          <w:tcPr>
            <w:tcW w:w="722" w:type="dxa"/>
          </w:tcPr>
          <w:p>
            <w:pPr>
              <w:pStyle w:val="22"/>
              <w:rPr>
                <w:rFonts w:hint="eastAsia" w:ascii="仿宋" w:hAnsi="仿宋" w:eastAsia="仿宋" w:cs="仿宋"/>
              </w:rPr>
            </w:pPr>
          </w:p>
        </w:tc>
        <w:tc>
          <w:tcPr>
            <w:tcW w:w="1992" w:type="dxa"/>
          </w:tcPr>
          <w:p>
            <w:pPr>
              <w:pStyle w:val="22"/>
              <w:rPr>
                <w:rFonts w:hint="eastAsia" w:ascii="仿宋" w:hAnsi="仿宋" w:eastAsia="仿宋" w:cs="仿宋"/>
              </w:rPr>
            </w:pPr>
          </w:p>
        </w:tc>
        <w:tc>
          <w:tcPr>
            <w:tcW w:w="3273" w:type="dxa"/>
            <w:vAlign w:val="center"/>
          </w:tcPr>
          <w:p>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3</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7186" w:type="dxa"/>
            <w:gridSpan w:val="3"/>
          </w:tcPr>
          <w:p>
            <w:pPr>
              <w:pStyle w:val="22"/>
              <w:rPr>
                <w:rFonts w:hint="eastAsia" w:ascii="仿宋" w:hAnsi="仿宋" w:eastAsia="仿宋" w:cs="仿宋"/>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rPr>
              <w:t>宜兴市人民检察院</w:t>
            </w:r>
          </w:p>
        </w:tc>
        <w:tc>
          <w:tcPr>
            <w:tcW w:w="3273" w:type="dxa"/>
            <w:vAlign w:val="center"/>
          </w:tcPr>
          <w:p>
            <w:pPr>
              <w:pStyle w:val="22"/>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lang w:val="en-US"/>
              </w:rPr>
            </w:pPr>
            <w:r>
              <w:rPr>
                <w:rFonts w:ascii="仿宋" w:hAnsi="仿宋" w:eastAsia="仿宋" w:cs="仿宋"/>
                <w:u w:color="auto"/>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603.76</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17.98</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585.78</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603.76</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603.76</w:t>
            </w:r>
          </w:p>
        </w:tc>
      </w:tr>
    </w:tbl>
    <w:p>
      <w:pPr>
        <w:jc w:val="both"/>
        <w:rPr>
          <w:rFonts w:hint="eastAsia" w:ascii="仿宋" w:hAnsi="仿宋" w:eastAsia="仿宋" w:cs="仿宋"/>
          <w:lang w:val="en-US"/>
        </w:rPr>
      </w:pPr>
      <w:r>
        <w:rPr>
          <w:rFonts w:hint="eastAsia" w:ascii="仿宋" w:hAnsi="仿宋" w:eastAsia="仿宋" w:cs="仿宋"/>
        </w:rPr>
        <w:t>注：</w:t>
      </w:r>
      <w:r>
        <w:rPr>
          <w:rFonts w:hint="eastAsia" w:ascii="仿宋" w:hAnsi="仿宋" w:eastAsia="仿宋" w:cs="仿宋"/>
          <w:lang w:val="en-US"/>
        </w:rPr>
        <w:t>政府采购支出信息为单位纳入部门预算范围的各项政府采购支出情况。本表金额单位转换时可能存在尾数误差</w:t>
      </w:r>
      <w:r>
        <w:rPr>
          <w:rFonts w:hint="eastAsia" w:ascii="仿宋" w:hAnsi="仿宋" w:eastAsia="仿宋" w:cs="仿宋"/>
        </w:rPr>
        <w:t>。</w:t>
      </w:r>
    </w:p>
    <w:p>
      <w:pPr>
        <w:ind w:left="440" w:leftChars="200"/>
        <w:jc w:val="both"/>
        <w:rPr>
          <w:rFonts w:hint="eastAsia" w:ascii="仿宋" w:hAnsi="仿宋" w:eastAsia="仿宋" w:cs="仿宋"/>
          <w:lang w:val="en-US"/>
        </w:rPr>
        <w:sectPr>
          <w:pgSz w:w="11906" w:h="16838"/>
          <w:pgMar w:top="720" w:right="720" w:bottom="720" w:left="720" w:header="170" w:footer="280" w:gutter="0"/>
          <w:pgNumType w:fmt="numberInDash"/>
          <w:cols w:space="720" w:num="1"/>
          <w:formProt w:val="0"/>
          <w:docGrid w:linePitch="100" w:charSpace="0"/>
        </w:sectPr>
      </w:pPr>
    </w:p>
    <w:p>
      <w:pPr>
        <w:pStyle w:val="5"/>
        <w:tabs>
          <w:tab w:val="left" w:pos="3077"/>
        </w:tabs>
        <w:spacing w:line="616" w:lineRule="exact"/>
        <w:rPr>
          <w:rFonts w:hint="eastAsia" w:ascii="宋体" w:hAnsi="宋体" w:eastAsia="宋体" w:cs="宋体"/>
          <w:b/>
          <w:bCs/>
          <w:color w:val="000000"/>
          <w:lang w:val="en-US" w:eastAsia="ar-SA"/>
        </w:rPr>
      </w:pPr>
      <w:r>
        <w:rPr>
          <w:rFonts w:hint="eastAsia" w:ascii="宋体" w:hAnsi="宋体" w:eastAsia="宋体" w:cs="宋体"/>
          <w:b/>
          <w:bCs/>
          <w:color w:val="000000"/>
          <w:lang w:eastAsia="ar-SA"/>
        </w:rPr>
        <w:t>第三部分</w:t>
      </w:r>
      <w:r>
        <w:rPr>
          <w:rFonts w:hint="eastAsia" w:ascii="宋体" w:hAnsi="宋体" w:eastAsia="宋体" w:cs="宋体"/>
          <w:b/>
          <w:bCs/>
          <w:color w:val="000000"/>
          <w:lang w:val="en-US"/>
        </w:rPr>
        <w:t xml:space="preserve"> </w:t>
      </w:r>
      <w:r>
        <w:rPr>
          <w:rFonts w:hint="eastAsia" w:ascii="宋体" w:hAnsi="宋体" w:eastAsia="宋体" w:cs="宋体"/>
          <w:b/>
          <w:bCs/>
          <w:color w:val="000000"/>
          <w:lang w:val="en-US" w:eastAsia="zh-CN"/>
        </w:rPr>
        <w:t>2024</w:t>
      </w:r>
      <w:r>
        <w:rPr>
          <w:rFonts w:hint="eastAsia" w:ascii="宋体" w:hAnsi="宋体" w:eastAsia="宋体" w:cs="宋体"/>
          <w:b/>
          <w:bCs/>
          <w:color w:val="000000"/>
          <w:lang w:eastAsia="ar-SA"/>
        </w:rPr>
        <w:t>年度</w:t>
      </w:r>
      <w:r>
        <w:rPr>
          <w:rFonts w:hint="eastAsia" w:ascii="宋体" w:hAnsi="宋体" w:eastAsia="宋体" w:cs="宋体"/>
          <w:b/>
          <w:bCs/>
          <w:color w:val="000000"/>
          <w:lang w:val="en-US" w:eastAsia="ar-SA"/>
        </w:rPr>
        <w:t>部门</w:t>
      </w:r>
      <w:r>
        <w:rPr>
          <w:rFonts w:hint="eastAsia" w:ascii="宋体" w:hAnsi="宋体" w:eastAsia="宋体" w:cs="宋体"/>
          <w:b/>
          <w:bCs/>
          <w:color w:val="000000"/>
          <w:lang w:eastAsia="ar-SA"/>
        </w:rPr>
        <w:t>决算情况说明</w:t>
      </w:r>
    </w:p>
    <w:p>
      <w:pPr>
        <w:pStyle w:val="8"/>
        <w:tabs>
          <w:tab w:val="left" w:pos="3864"/>
          <w:tab w:val="left" w:pos="6248"/>
          <w:tab w:val="left" w:pos="7386"/>
        </w:tabs>
        <w:spacing w:before="1" w:line="360" w:lineRule="auto"/>
        <w:ind w:left="348" w:right="420" w:firstLine="640"/>
        <w:jc w:val="both"/>
        <w:rPr>
          <w:rFonts w:hint="eastAsia" w:ascii="仿宋" w:hAnsi="仿宋" w:eastAsia="仿宋" w:cs="仿宋"/>
          <w:lang w:val="en-US"/>
        </w:rPr>
      </w:pP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一、收入支出决算总体情况说明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2024年度收入、支出决算总计6,214.56万元。与上年相比，收、支总计各减少440.71万元，减少6.62%。其中：</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（一）收入决算总计6,214.56万元。包括：</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1.本年收入决算合计6,214.56万元。与上年相比，减少440.71万元，减少6.62%，变动原因：落实“过紧日子”要求，压减经费开支。</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2.使用非财政拨款结余（含专用结余）0万元。与上年决算数相同。</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3.年初结转和结余0万元。与上年决算数相同。</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（二）支出决算总计6,214.56万元。包括：</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1.本年支出决算合计6,214.56万元。与上年相比，减少440.71万元，减少6.62%，变动原因：落实“过紧日子”要求，压减经费开支。</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2.结余分配0万元。与上年决算数相同。</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3.年末结转和结余0万元。与上年决算数相同。</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二、收入决算情况说明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本年收入决算合计6,214.56万元，其中：财政拨款收入6,214.56万元，占100%；上级补助收入0万元，占0%；财政专户管理教育收费0万元，占0%；事业收入（不含专户管理教育收费）0万元，占0%；经营收入0万元，占0%；附属单位上缴收入0万元，占0%；其他收入0万元，占0%。</w:t>
      </w:r>
    </w:p>
    <w:p>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drawing>
          <wp:inline distT="0" distB="0" distL="0" distR="0">
            <wp:extent cx="6134100" cy="3429000"/>
            <wp:effectExtent l="0" t="0" r="0" b="0"/>
            <wp:docPr id="14" name="Drawing 14"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rawing 14" descr="Generated"/>
                    <pic:cNvPicPr>
                      <a:picLocks noChangeAspect="1"/>
                    </pic:cNvPicPr>
                  </pic:nvPicPr>
                  <pic:blipFill>
                    <a:blip r:embed="rId19"/>
                    <a:stretch>
                      <a:fillRect/>
                    </a:stretch>
                  </pic:blipFill>
                  <pic:spPr>
                    <a:xfrm>
                      <a:off x="0" y="0"/>
                      <a:ext cx="6134100" cy="3429000"/>
                    </a:xfrm>
                    <a:prstGeom prst="rect">
                      <a:avLst/>
                    </a:prstGeom>
                  </pic:spPr>
                </pic:pic>
              </a:graphicData>
            </a:graphic>
          </wp:inline>
        </w:drawing>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三、支出决算情况说明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2024年度本年支出决算合计6,214.56万元，其中：基本支出4,943.67万元，占79.55%；项目支出1,270.89万元，占20.45%；上缴上级支出0万元，占0%；经营支出0万元，占0%；对附属单位补助支出0万元，占0%。</w:t>
      </w:r>
    </w:p>
    <w:p>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drawing>
          <wp:inline distT="0" distB="0" distL="0" distR="0">
            <wp:extent cx="6134100" cy="3429000"/>
            <wp:effectExtent l="0" t="0" r="0" b="0"/>
            <wp:docPr id="15" name="Drawing 15"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rawing 15" descr="Generated"/>
                    <pic:cNvPicPr>
                      <a:picLocks noChangeAspect="1"/>
                    </pic:cNvPicPr>
                  </pic:nvPicPr>
                  <pic:blipFill>
                    <a:blip r:embed="rId20"/>
                    <a:stretch>
                      <a:fillRect/>
                    </a:stretch>
                  </pic:blipFill>
                  <pic:spPr>
                    <a:xfrm>
                      <a:off x="0" y="0"/>
                      <a:ext cx="6134100" cy="3429000"/>
                    </a:xfrm>
                    <a:prstGeom prst="rect">
                      <a:avLst/>
                    </a:prstGeom>
                  </pic:spPr>
                </pic:pic>
              </a:graphicData>
            </a:graphic>
          </wp:inline>
        </w:drawing>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四、财政拨款收入支出决算总体情况说明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2024年度财政拨款收入、支出决算总计6,214.56万元。与上年相比，收、支总计各减少440.71万元，减少6.62%，变动原因：落实“过紧日子”要求，压减经费开支。</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五、财政拨款支出决算情况说明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2024年度财政拨款支出决算6,214.56万元，占本年支出合计的100%。与2024年度财政拨款支出年初预算6,061.02万元相比，完成年初预算的102.53%。其中：</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（一）一般公共服务支出（类）</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党委办公厅（室）及相关机构事务（款）一般行政管理事务（项）。年初预算0万元，支出决算0.8万元，（年初预算数为0万元，无法计算完成比率）决算数与年初预算数的差异原因：功能科目调整。</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（二）公共安全支出（类）</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1.检察（款）行政运行（项）。年初预算3,326.01万元，支出决算3,288.05万元，完成年初预算的98.86%。决算数与年初预算数的差异原因：经费执行过程中产生的正常差异。</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2.检察（款）一般行政管理事务（项）。年初预算140万元，支出决算268.45万元，完成年初预算的191.75%。决算数与年初预算数的差异原因：功能科目调整。</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3.检察（款）检察监督（项）。年初预算839.6万元，支出决算835.31万元，完成年初预算的99.49%。决算数与年初预算数的差异原因：经费执行过程中产生的正常差异。</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4.检察（款）其他检察支出（项）。年初预算175万元，支出决算163.32万元，完成年初预算的93.33%。决算数与年初预算数的差异原因：经费执行过程中产生的正常差异。</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5.其他公共安全支出（款）其他公共安全支出（项）。年初预算0万元，支出决算3万元，（年初预算数为0万元，无法计算完成比率）决算数与年初预算数的差异原因：功能科目调整。</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（三）社会保障和就业支出（类）</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1.行政事业单位养老支出（款）行政单位离退休（项）。年初预算11.34万元，支出决算74.49万元，完成年初预算的656.88%。决算数与年初预算数的差异原因：退休人员增加。</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2.行政事业单位养老支出（款）机关事业单位基本养老保险缴费支出（项）。年初预算296万元，支出决算296万元，完成年初预算的100%。决算数与年初预算数相同。</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3.行政事业单位养老支出（款）机关事业单位职业年金缴费支出（项）。年初预算148万元，支出决算148万元，完成年初预算的100%。决算数与年初预算数相同。</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（四）卫生健康支出（类）</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1.行政事业单位医疗（款）行政单位医疗（项）。年初预算128.37万元，支出决算128.37万元，完成年初预算的100%。决算数与年初预算数相同。</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2.行政事业单位医疗（款）事业单位医疗（项）。年初预算1.13万元，支出决算1.13万元，完成年初预算的100%。决算数与年初预算数相同。</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（五）住房保障支出（类）</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1.住房改革支出（款）住房公积金（项）。年初预算251.12万元，支出决算267.89万元，完成年初预算的106.68%。决算数与年初预算数的差异原因：功能科目调整。</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2.住房改革支出（款）提租补贴（项）。年初预算744.45万元，支出决算739.48万元，完成年初预算的99.33%。决算数与年初预算数的差异原因：经费执行过程中产生的正常差异。</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3.住房改革支出（款）购房补贴（项）。年初预算0万元，支出决算0.26万元，（年初预算数为0万元，无法计算完成比率）决算数与年初预算数的差异原因：功能科目调整。</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六、财政拨款基本支出决算情况说明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2024年度财政拨款基本支出决算4,943.68万元，其中：</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（一）人员经费4,630.51万元。</w:t>
      </w:r>
      <w:r>
        <w:rPr>
          <w:rFonts w:ascii="仿宋" w:hAnsi="仿宋" w:eastAsia="仿宋" w:cs="仿宋"/>
          <w:u w:color="auto"/>
        </w:rPr>
        <w:t>主要包括：基本工资、津贴补贴、绩效工资、机关事业单位基本养老保险缴费、职业年金缴费、职工基本医疗保险缴费、其他社会保障缴费、住房公积金、医疗费、其他工资福利支出、退休费、抚恤金、生活补助、其他对个人和家庭的补助。</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（二）公用经费313.17万元。</w:t>
      </w:r>
      <w:r>
        <w:rPr>
          <w:rFonts w:ascii="仿宋" w:hAnsi="仿宋" w:eastAsia="仿宋" w:cs="仿宋"/>
          <w:u w:color="auto"/>
        </w:rPr>
        <w:t>主要包括：办公费、水费、电费、差旅费、维修（护）费、公务接待费、劳务费、工会经费、公务用车运行维护费、其他交通费用、其他商品和服务支出。</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七、一般公共预算支出决算情况说明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2024年度一般公共预算财政拨款支出决算6,214.56万元。与上年相比，减少440.71万元，减少6.62%，变动原因：落实“过紧日子”要求，压减经费开支。</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八、一般公共预算基本支出决算情况说明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2024年度一般公共预算财政拨款基本支出决算4,943.68万元，其中：</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（一）人员经费4,630.51万元。</w:t>
      </w:r>
      <w:r>
        <w:rPr>
          <w:rFonts w:ascii="仿宋" w:hAnsi="仿宋" w:eastAsia="仿宋" w:cs="仿宋"/>
          <w:u w:color="auto"/>
        </w:rPr>
        <w:t>主要包括：基本工资、津贴补贴、奖金、绩效工资、机关事业单位基本养老保险缴费、职业年金缴费、职工基本医疗保险缴费、其他社会保障缴费、住房公积金、医疗费、其他工资福利支出、退休费、抚恤金、生活补助、医疗费补助、其他对个人和家庭的补助。</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（二）公用经费313.17万元。</w:t>
      </w:r>
      <w:r>
        <w:rPr>
          <w:rFonts w:ascii="仿宋" w:hAnsi="仿宋" w:eastAsia="仿宋" w:cs="仿宋"/>
          <w:u w:color="auto"/>
        </w:rPr>
        <w:t>主要包括：办公费、水费、电费、差旅费、维修（护）费、会议费、公务接待费、劳务费、工会经费、公务用车运行维护费、其他交通费用、其他商品和服务支出。</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九、财政拨款“三公”经费、会议费、培训费支出情况说明</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（一）财政拨款“三公”经费支出总体情况说明。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三公”经费支出决算30.58万元（其中：一般公共预算支出30.58万元；政府性基金预算支出0万元；国有资本经营预算支出0万元）。与上年相比，减少1.96万元，变动原因：落实“过紧日子”要求，压减三公经费开支。其中，因公出国（境）费支出0万元，占“三公”经费的0%；公务用车购置及运行维护费支出26.16万元，占“三公”经费的85.55%；公务接待费支出4.42万元，占“三公”经费的14.45%。2024年度财政拨款“三公”经费支出预算32.56万元（其中：一般公共预算支出32.56万元；政府性基金预算支出0万元；国有资本经营预算支出0万元）。决算数与预算数的差异原因：落实“过紧日子”要求，压减三公经费开支。</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（二）财政拨款“三公”经费支出具体情况说明。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公务用车购置及运行维护费支出预算26.16万元（其中：一般公共预算支出26.16万元；政府性基金预算支出0万元；国有资本经营预算支出0万元），支出决算26.16万元（其中：一般公共预算支出26.16万元；政府性基金预算支出0万元；国有资本经营预算支出0万元），完成调整后预算的100%，决算数与预算数相同。其中：</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（1）公务用车购置支出决算0万元。本年度使用财政拨款购置公务用车0辆。</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公务用车运行维护费支出决算26.16万元。公务用车运行维护费主要用于按规定保留的公务用车的燃料费、维修费、过桥过路费、保险费、安全奖励费用等支出。截至2024年12月31日，使用财政拨款开支的公务用车保有量为19辆。</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公务接待费支出预算6.4万元（其中：一般公共预算支出6.4万元；政府性基金预算支出0万元；国有资本经营预算支出0万元），支出决算4.42万元（其中：一般公共预算支出4.42万元；政府性基金预算支出0万元；国有资本经营预算支出0万元），完成调整后预算的69.06%，决算数与预算数的差异原因：落实“过紧日子”要求，压减三公经费开支。其中：国内公务接待支出4.42万元，接待38批次，154人次，开支内容：接待用的住宿费、餐费等；国（境）外公务接待支出0万元，接待0批次，0人次。</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（三）财政拨款会议费支出决算情况说明。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会议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2024年度全年召开会议0个，参加会议0人次。</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（四）财政拨款培训费支出决算情况说明。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培训费支出预算15万元（其中：一般公共预算支出15万元；政府性基金预算支出0万元；国有资本经营预算支出0万元），支出决算13.82万元（其中：一般公共预算支出13.82万元；政府性基金预算支出0万元；国有资本经营预算支出0万元），完成调整后预算的92.13%，决算数与预算数的差异原因：落实“过紧日子”要求，压减经费开支。2024年度全年组织培训6个，组织培训298人次，开支内容：业务培训。</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十、政府性基金预算财政拨款支出决算情况说明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2024年度政府性基金预算财政拨款支出决算0万元。与上年决算数相同。</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十一、国有资本经营预算财政拨款支出决算情况说明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2024年度国有资本经营预算财政拨款支出决算0万元。与上年决算数相同。</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十二、财政拨款机关运行经费支出决算情况说明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机关运行经费支出决算313.17万元（其中：一般公共预算支出313.17万元；政府性基金预算支出0万元；国有资本经营预算支出0万元）。与上年相比，增加82.36万元，增长35.68%，变动原因：在职人数较23年增加。</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十三、政府采购支出决算情况说明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政府采购支出总额603.76万元，其中：政府采购货物支出17.98万元、政府采购工程支出0万元、政府采购服务支出585.78万元。政府采购授予中小企业合同金额603.76万元，占政府采购支出总额的100%，其中：授予小微企业合同金额603.76万元，占授予中小企业合同金额的100%。</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十四、国有资产占用情况说明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截至2024年12月31日，本部门共有车辆19辆，其中：副部(省)级及以上领导用车0辆、主要领导干部用车0辆、机要通信用车0辆、应急保障用车0辆、执法执勤用车19辆、特种专业技术用车0辆、离退休干部用车0辆、其他用车0辆；单价100万元（含）以上的设备0台（套）。</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十五、预算绩效评价工作开展情况</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2024年度，本部门共7个项目开展了财政重点绩效评价，涉及财政性资金合计1,628.76万元；本部门开展部门整体支出财政重点绩效评价，涉及财政性资金1,628.76万元。</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本部门组织所属单位共对上年度已实施完成的7个项目开展了绩效自评价，涉及财政性资金合计1,628.76万元；本部门组织所属单位共开展1项单位整体支出绩效自评价，涉及财政性资金合计6,214.56万元。</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本部门共7个项目开展了部门评价，涉及财政性资金合计1,628.76万元；本部门开展1个部门整体支出部门评价，涉及财政性资金6,214.56万元。</w:t>
      </w:r>
    </w:p>
    <w:p>
      <w:pPr>
        <w:pStyle w:val="5"/>
        <w:tabs>
          <w:tab w:val="left" w:pos="3077"/>
        </w:tabs>
        <w:spacing w:line="616" w:lineRule="exact"/>
        <w:rPr>
          <w:rFonts w:hint="eastAsia" w:ascii="宋体" w:hAnsi="宋体" w:eastAsia="宋体" w:cs="宋体"/>
          <w:b/>
          <w:bCs/>
        </w:rPr>
      </w:pPr>
      <w:r>
        <w:rPr>
          <w:rFonts w:hint="eastAsia" w:ascii="宋体" w:hAnsi="宋体" w:eastAsia="宋体" w:cs="宋体"/>
          <w:b/>
          <w:bCs/>
        </w:rPr>
        <w:t>第四部分 名词</w:t>
      </w:r>
      <w:r>
        <w:rPr>
          <w:rFonts w:hint="eastAsia" w:ascii="宋体" w:hAnsi="宋体" w:eastAsia="宋体" w:cs="宋体"/>
          <w:b/>
          <w:bCs/>
          <w:color w:val="000000"/>
          <w:lang w:eastAsia="ar-SA"/>
        </w:rPr>
        <w:t>解释</w:t>
      </w:r>
    </w:p>
    <w:p>
      <w:pPr>
        <w:pStyle w:val="8"/>
        <w:tabs>
          <w:tab w:val="left" w:pos="3864"/>
          <w:tab w:val="left" w:pos="6248"/>
          <w:tab w:val="left" w:pos="7386"/>
        </w:tabs>
        <w:ind w:left="440" w:leftChars="200" w:firstLine="659" w:firstLineChars="206"/>
        <w:jc w:val="both"/>
        <w:rPr>
          <w:rFonts w:hint="eastAsia" w:ascii="仿宋" w:hAnsi="仿宋" w:eastAsia="仿宋" w:cs="仿宋"/>
        </w:rPr>
      </w:pP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一、财政拨款收入</w:t>
      </w:r>
      <w:r>
        <w:rPr>
          <w:rFonts w:ascii="仿宋" w:hAnsi="仿宋" w:eastAsia="仿宋" w:cs="仿宋"/>
          <w:b/>
          <w:u w:color="auto"/>
        </w:rPr>
        <w:t>：</w:t>
      </w:r>
      <w:r>
        <w:rPr>
          <w:rFonts w:hint="eastAsia" w:ascii="仿宋" w:hAnsi="仿宋" w:eastAsia="仿宋" w:cs="仿宋"/>
        </w:rPr>
        <w:t>指单位从同级财政部门取得的各类财政拨款，包括一般公共预算财政拨款、政府性基金预算财政拨款、国有资本经营预算财政拨款。</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二、上级补助收入</w:t>
      </w:r>
      <w:r>
        <w:rPr>
          <w:rFonts w:ascii="仿宋" w:hAnsi="仿宋" w:eastAsia="仿宋" w:cs="仿宋"/>
          <w:b/>
          <w:u w:color="auto"/>
        </w:rPr>
        <w:t>：</w:t>
      </w:r>
      <w:r>
        <w:rPr>
          <w:rFonts w:hint="eastAsia" w:ascii="仿宋" w:hAnsi="仿宋" w:eastAsia="仿宋" w:cs="仿宋"/>
        </w:rPr>
        <w:t>指事业单位从主管部门和上级单位取得的非财政补助收入。</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三、财政专户管理教育收费</w:t>
      </w:r>
      <w:r>
        <w:rPr>
          <w:rFonts w:ascii="仿宋" w:hAnsi="仿宋" w:eastAsia="仿宋" w:cs="仿宋"/>
          <w:b/>
          <w:u w:color="auto"/>
        </w:rPr>
        <w:t>：</w:t>
      </w:r>
      <w:r>
        <w:rPr>
          <w:rFonts w:hint="eastAsia" w:ascii="仿宋" w:hAnsi="仿宋" w:eastAsia="仿宋" w:cs="仿宋"/>
        </w:rPr>
        <w:t>指缴入财政专户、实行专项管理的高中以上学费、住宿费、高校委托培养费、函大、电大、夜大及短训班培训费等教育收费。</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四、事业收入</w:t>
      </w:r>
      <w:r>
        <w:rPr>
          <w:rFonts w:ascii="仿宋" w:hAnsi="仿宋" w:eastAsia="仿宋" w:cs="仿宋"/>
          <w:b/>
          <w:u w:color="auto"/>
        </w:rPr>
        <w:t>：</w:t>
      </w:r>
      <w:r>
        <w:rPr>
          <w:rFonts w:hint="eastAsia" w:ascii="仿宋" w:hAnsi="仿宋" w:eastAsia="仿宋" w:cs="仿宋"/>
        </w:rPr>
        <w:t>指事业单位开展专业业务活动及其辅助活动取得的收入。</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五、经营收入</w:t>
      </w:r>
      <w:r>
        <w:rPr>
          <w:rFonts w:ascii="仿宋" w:hAnsi="仿宋" w:eastAsia="仿宋" w:cs="仿宋"/>
          <w:b/>
          <w:u w:color="auto"/>
        </w:rPr>
        <w:t>：</w:t>
      </w:r>
      <w:r>
        <w:rPr>
          <w:rFonts w:hint="eastAsia" w:ascii="仿宋" w:hAnsi="仿宋" w:eastAsia="仿宋" w:cs="仿宋"/>
        </w:rPr>
        <w:t>指事业单位在专业业务活动及其辅助活动之外开展非独立核算经营活动取得的收入。</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六、附属单位上缴收入</w:t>
      </w:r>
      <w:r>
        <w:rPr>
          <w:rFonts w:ascii="仿宋" w:hAnsi="仿宋" w:eastAsia="仿宋" w:cs="仿宋"/>
          <w:b/>
          <w:u w:color="auto"/>
        </w:rPr>
        <w:t>：</w:t>
      </w:r>
      <w:r>
        <w:rPr>
          <w:rFonts w:hint="eastAsia" w:ascii="仿宋" w:hAnsi="仿宋" w:eastAsia="仿宋" w:cs="仿宋"/>
        </w:rPr>
        <w:t>指事业单位附属独立核算单位按照有关规定上缴的收入。</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七、其他收入</w:t>
      </w:r>
      <w:r>
        <w:rPr>
          <w:rFonts w:ascii="仿宋" w:hAnsi="仿宋" w:eastAsia="仿宋" w:cs="仿宋"/>
          <w:b/>
          <w:u w:color="auto"/>
        </w:rPr>
        <w:t>：</w:t>
      </w:r>
      <w:r>
        <w:rPr>
          <w:rFonts w:hint="eastAsia" w:ascii="仿宋" w:hAnsi="仿宋" w:eastAsia="仿宋" w:cs="仿宋"/>
        </w:rPr>
        <w:t>指单位取得的除上述“财政拨款收入”、 “上级补助收入”、“事业收入”、“经营收入”、“附属单位上缴收入”等以外的各项收入。</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八、使用非财政拨款结余（含专用结余）</w:t>
      </w:r>
      <w:r>
        <w:rPr>
          <w:rFonts w:ascii="仿宋" w:hAnsi="仿宋" w:eastAsia="仿宋" w:cs="仿宋"/>
          <w:b/>
          <w:u w:color="auto"/>
        </w:rPr>
        <w:t>：</w:t>
      </w:r>
      <w:r>
        <w:rPr>
          <w:rFonts w:hint="eastAsia" w:ascii="仿宋" w:hAnsi="仿宋" w:eastAsia="仿宋" w:cs="仿宋"/>
        </w:rPr>
        <w:t>指事业单位按照预算管理要求使用非财政拨款结余（含专用结余）弥补当年收支差额的数额。</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九、年初结转和结余</w:t>
      </w:r>
      <w:r>
        <w:rPr>
          <w:rFonts w:ascii="仿宋" w:hAnsi="仿宋" w:eastAsia="仿宋" w:cs="仿宋"/>
          <w:b/>
          <w:u w:color="auto"/>
        </w:rPr>
        <w:t>：</w:t>
      </w:r>
      <w:r>
        <w:rPr>
          <w:rFonts w:hint="eastAsia" w:ascii="仿宋" w:hAnsi="仿宋" w:eastAsia="仿宋" w:cs="仿宋"/>
        </w:rPr>
        <w:t>指单位上年结转本年使用的基本支出结转、项目支出结转和结余、经营结余。</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十、结余分配</w:t>
      </w:r>
      <w:r>
        <w:rPr>
          <w:rFonts w:ascii="仿宋" w:hAnsi="仿宋" w:eastAsia="仿宋" w:cs="仿宋"/>
          <w:b/>
          <w:u w:color="auto"/>
        </w:rPr>
        <w:t>：</w:t>
      </w:r>
      <w:r>
        <w:rPr>
          <w:rFonts w:hint="eastAsia" w:ascii="仿宋" w:hAnsi="仿宋" w:eastAsia="仿宋" w:cs="仿宋"/>
        </w:rPr>
        <w:t>指事业单位按规定缴纳的所得税以及从非财政拨款结余中提取各类结余的情况。</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十一、年末结转和结余资金</w:t>
      </w:r>
      <w:r>
        <w:rPr>
          <w:rFonts w:ascii="仿宋" w:hAnsi="仿宋" w:eastAsia="仿宋" w:cs="仿宋"/>
          <w:b/>
          <w:u w:color="auto"/>
        </w:rPr>
        <w:t>：</w:t>
      </w:r>
      <w:r>
        <w:rPr>
          <w:rFonts w:hint="eastAsia" w:ascii="仿宋" w:hAnsi="仿宋" w:eastAsia="仿宋" w:cs="仿宋"/>
        </w:rPr>
        <w:t>指单位结转下年的基本支出结转、项目支出结转和结余、经营结余。</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十二、基本支出</w:t>
      </w:r>
      <w:r>
        <w:rPr>
          <w:rFonts w:ascii="仿宋" w:hAnsi="仿宋" w:eastAsia="仿宋" w:cs="仿宋"/>
          <w:b/>
          <w:u w:color="auto"/>
        </w:rPr>
        <w:t>：</w:t>
      </w:r>
      <w:r>
        <w:rPr>
          <w:rFonts w:hint="eastAsia" w:ascii="仿宋" w:hAnsi="仿宋" w:eastAsia="仿宋" w:cs="仿宋"/>
        </w:rPr>
        <w:t>指为保障机构正常运转、完成日常工作任务所发生的支出，包括人员经费和公用经费。</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十三、项目支出</w:t>
      </w:r>
      <w:r>
        <w:rPr>
          <w:rFonts w:ascii="仿宋" w:hAnsi="仿宋" w:eastAsia="仿宋" w:cs="仿宋"/>
          <w:b/>
          <w:u w:color="auto"/>
        </w:rPr>
        <w:t>：</w:t>
      </w:r>
      <w:r>
        <w:rPr>
          <w:rFonts w:hint="eastAsia" w:ascii="仿宋" w:hAnsi="仿宋" w:eastAsia="仿宋" w:cs="仿宋"/>
        </w:rPr>
        <w:t>指在为完成特定的工作任务和事业发展目标所发生的支出。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十四、上缴上级支出</w:t>
      </w:r>
      <w:r>
        <w:rPr>
          <w:rFonts w:ascii="仿宋" w:hAnsi="仿宋" w:eastAsia="仿宋" w:cs="仿宋"/>
          <w:b/>
          <w:u w:color="auto"/>
        </w:rPr>
        <w:t>：</w:t>
      </w:r>
      <w:r>
        <w:rPr>
          <w:rFonts w:hint="eastAsia" w:ascii="仿宋" w:hAnsi="仿宋" w:eastAsia="仿宋" w:cs="仿宋"/>
        </w:rPr>
        <w:t>指事业单位按照财政部门和主管部门的规定上缴上级单位的支出。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十五、经营支出</w:t>
      </w:r>
      <w:r>
        <w:rPr>
          <w:rFonts w:ascii="仿宋" w:hAnsi="仿宋" w:eastAsia="仿宋" w:cs="仿宋"/>
          <w:b/>
          <w:u w:color="auto"/>
        </w:rPr>
        <w:t>：</w:t>
      </w:r>
      <w:r>
        <w:rPr>
          <w:rFonts w:hint="eastAsia" w:ascii="仿宋" w:hAnsi="仿宋" w:eastAsia="仿宋" w:cs="仿宋"/>
        </w:rPr>
        <w:t>指事业单位在专业业务活动及其辅助活动之外开展非独立核算经营活动发生的支出。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十六、对附属单位补助支出</w:t>
      </w:r>
      <w:r>
        <w:rPr>
          <w:rFonts w:ascii="仿宋" w:hAnsi="仿宋" w:eastAsia="仿宋" w:cs="仿宋"/>
          <w:b/>
          <w:u w:color="auto"/>
        </w:rPr>
        <w:t>：</w:t>
      </w:r>
      <w:r>
        <w:rPr>
          <w:rFonts w:hint="eastAsia" w:ascii="仿宋" w:hAnsi="仿宋" w:eastAsia="仿宋" w:cs="仿宋"/>
        </w:rPr>
        <w:t>指事业单位用财政拨款收入之外的收入对附属单位补助发生的支出。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十七、“三公”经费</w:t>
      </w:r>
      <w:r>
        <w:rPr>
          <w:rFonts w:ascii="仿宋" w:hAnsi="仿宋" w:eastAsia="仿宋" w:cs="仿宋"/>
          <w:b/>
          <w:u w:color="auto"/>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十八、机关运行经费</w:t>
      </w:r>
      <w:r>
        <w:rPr>
          <w:rFonts w:ascii="仿宋" w:hAnsi="仿宋" w:eastAsia="仿宋" w:cs="仿宋"/>
          <w:b/>
          <w:u w:color="auto"/>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十九、一般公共服务支出(类)党委办公厅（室）及相关机构事务(款)一般行政管理事务(项)</w:t>
      </w:r>
      <w:r>
        <w:rPr>
          <w:rFonts w:ascii="仿宋" w:hAnsi="仿宋" w:eastAsia="仿宋" w:cs="仿宋"/>
          <w:b/>
          <w:u w:color="auto"/>
        </w:rPr>
        <w:t>：</w:t>
      </w:r>
      <w:r>
        <w:rPr>
          <w:rFonts w:hint="eastAsia" w:ascii="仿宋" w:hAnsi="仿宋" w:eastAsia="仿宋" w:cs="仿宋"/>
        </w:rPr>
        <w:t>反映行政单位（包括实行公务员管理的事业单位）未单独设置项级科目的其他项目支出。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二十、公共安全支出(类)检察(款)行政运行(项)</w:t>
      </w:r>
      <w:r>
        <w:rPr>
          <w:rFonts w:ascii="仿宋" w:hAnsi="仿宋" w:eastAsia="仿宋" w:cs="仿宋"/>
          <w:b/>
          <w:u w:color="auto"/>
        </w:rPr>
        <w:t>：</w:t>
      </w:r>
      <w:r>
        <w:rPr>
          <w:rFonts w:hint="eastAsia" w:ascii="仿宋" w:hAnsi="仿宋" w:eastAsia="仿宋" w:cs="仿宋"/>
        </w:rPr>
        <w:t>反映行政单位（包括实行公务员管理的事业单位）的基本支出。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二十一、公共安全支出(类)检察(款)一般行政管理事务(项)</w:t>
      </w:r>
      <w:r>
        <w:rPr>
          <w:rFonts w:ascii="仿宋" w:hAnsi="仿宋" w:eastAsia="仿宋" w:cs="仿宋"/>
          <w:b/>
          <w:u w:color="auto"/>
        </w:rPr>
        <w:t>：</w:t>
      </w:r>
      <w:r>
        <w:rPr>
          <w:rFonts w:hint="eastAsia" w:ascii="仿宋" w:hAnsi="仿宋" w:eastAsia="仿宋" w:cs="仿宋"/>
        </w:rPr>
        <w:t>反映行政单位（包括实行公务员管理的事业单位）未单独设置项级科目的其他项目支出。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二十二、公共安全支出(类)检察(款)检察监督(项)</w:t>
      </w:r>
      <w:r>
        <w:rPr>
          <w:rFonts w:ascii="仿宋" w:hAnsi="仿宋" w:eastAsia="仿宋" w:cs="仿宋"/>
          <w:b/>
          <w:u w:color="auto"/>
        </w:rPr>
        <w:t>：</w:t>
      </w:r>
      <w:r>
        <w:rPr>
          <w:rFonts w:hint="eastAsia" w:ascii="仿宋" w:hAnsi="仿宋" w:eastAsia="仿宋" w:cs="仿宋"/>
        </w:rPr>
        <w:t>反映检察机关依法开展法律监督工作的支出，包括侦察监督、公诉、审判监督、执行监督、民事行政监督、公益诉讼、控告申诉等。</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二十三、公共安全支出(类)检察(款)其他检察支出(项)</w:t>
      </w:r>
      <w:r>
        <w:rPr>
          <w:rFonts w:ascii="仿宋" w:hAnsi="仿宋" w:eastAsia="仿宋" w:cs="仿宋"/>
          <w:b/>
          <w:u w:color="auto"/>
        </w:rPr>
        <w:t>：</w:t>
      </w:r>
      <w:r>
        <w:rPr>
          <w:rFonts w:hint="eastAsia" w:ascii="仿宋" w:hAnsi="仿宋" w:eastAsia="仿宋" w:cs="仿宋"/>
        </w:rPr>
        <w:t>反映除上述项目以外其他用于检察方面的支出。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二十四、公共安全支出(类)其他公共安全支出(款)其他公共安全支出(项)</w:t>
      </w:r>
      <w:r>
        <w:rPr>
          <w:rFonts w:ascii="仿宋" w:hAnsi="仿宋" w:eastAsia="仿宋" w:cs="仿宋"/>
          <w:b/>
          <w:u w:color="auto"/>
        </w:rPr>
        <w:t>：</w:t>
      </w:r>
      <w:r>
        <w:rPr>
          <w:rFonts w:hint="eastAsia" w:ascii="仿宋" w:hAnsi="仿宋" w:eastAsia="仿宋" w:cs="仿宋"/>
        </w:rPr>
        <w:t>反映除上述项目以外其他用于公共安全方面的支出。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二十五、社会保障和就业支出(类)行政事业单位养老支出(款)行政单位离退休(项)</w:t>
      </w:r>
      <w:r>
        <w:rPr>
          <w:rFonts w:ascii="仿宋" w:hAnsi="仿宋" w:eastAsia="仿宋" w:cs="仿宋"/>
          <w:b/>
          <w:u w:color="auto"/>
        </w:rPr>
        <w:t>：</w:t>
      </w:r>
      <w:r>
        <w:rPr>
          <w:rFonts w:hint="eastAsia" w:ascii="仿宋" w:hAnsi="仿宋" w:eastAsia="仿宋" w:cs="仿宋"/>
        </w:rPr>
        <w:t>反映行政单位（包括实行公务员管理的事业单位）开支的离退休经费。</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二十六、社会保障和就业支出(类)行政事业单位养老支出(款)机关事业单位基本养老保险缴费支出(项)</w:t>
      </w:r>
      <w:r>
        <w:rPr>
          <w:rFonts w:ascii="仿宋" w:hAnsi="仿宋" w:eastAsia="仿宋" w:cs="仿宋"/>
          <w:b/>
          <w:u w:color="auto"/>
        </w:rPr>
        <w:t>：</w:t>
      </w:r>
      <w:r>
        <w:rPr>
          <w:rFonts w:hint="eastAsia" w:ascii="仿宋" w:hAnsi="仿宋" w:eastAsia="仿宋" w:cs="仿宋"/>
        </w:rPr>
        <w:t>反映机关事业单位实施养老保险制度由单位缴纳的基本养老保险费支出。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二十七、社会保障和就业支出(类)行政事业单位养老支出(款)机关事业单位职业年金缴费支出(项)</w:t>
      </w:r>
      <w:r>
        <w:rPr>
          <w:rFonts w:ascii="仿宋" w:hAnsi="仿宋" w:eastAsia="仿宋" w:cs="仿宋"/>
          <w:b/>
          <w:u w:color="auto"/>
        </w:rPr>
        <w:t>：</w:t>
      </w:r>
      <w:r>
        <w:rPr>
          <w:rFonts w:hint="eastAsia" w:ascii="仿宋" w:hAnsi="仿宋" w:eastAsia="仿宋" w:cs="仿宋"/>
        </w:rPr>
        <w:t>反映机关事业单位实施养老保险制度由单位实际缴纳的职业年金支出。(含职业年金补记支出。）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二十八、卫生健康支出(类)行政事业单位医疗(款)行政单位医疗(项)</w:t>
      </w:r>
      <w:r>
        <w:rPr>
          <w:rFonts w:ascii="仿宋" w:hAnsi="仿宋" w:eastAsia="仿宋" w:cs="仿宋"/>
          <w:b/>
          <w:u w:color="auto"/>
        </w:rPr>
        <w:t>：</w:t>
      </w:r>
      <w:r>
        <w:rPr>
          <w:rFonts w:hint="eastAsia" w:ascii="仿宋" w:hAnsi="仿宋" w:eastAsia="仿宋" w:cs="仿宋"/>
        </w:rPr>
        <w:t>反映财政部门安排的行政单位（包括实行公务员管理的事业单位，下同）基本医疗保险缴费经费，未参加医疗保险的行政单位的公费医疗经费，按国家规定享受离休人员、红军老战士待遇人员的医疗经费。</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二十九、卫生健康支出(类)行政事业单位医疗(款)事业单位医疗(项)</w:t>
      </w:r>
      <w:r>
        <w:rPr>
          <w:rFonts w:ascii="仿宋" w:hAnsi="仿宋" w:eastAsia="仿宋" w:cs="仿宋"/>
          <w:b/>
          <w:u w:color="auto"/>
        </w:rPr>
        <w:t>：</w:t>
      </w:r>
      <w:r>
        <w:rPr>
          <w:rFonts w:hint="eastAsia" w:ascii="仿宋" w:hAnsi="仿宋" w:eastAsia="仿宋" w:cs="仿宋"/>
        </w:rPr>
        <w:t>反映财政部门安排的事业单位基本医疗保险缴费经费，未参加医疗保险的事业单位的公费医疗经费，按国家规定享受离休人员待遇的医疗经费。</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三十、住房保障支出(类)住房改革支出(款)住房公积金(项)</w:t>
      </w:r>
      <w:r>
        <w:rPr>
          <w:rFonts w:ascii="仿宋" w:hAnsi="仿宋" w:eastAsia="仿宋" w:cs="仿宋"/>
          <w:b/>
          <w:u w:color="auto"/>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三十一、住房保障支出(类)住房改革支出(款)提租补贴(项)</w:t>
      </w:r>
      <w:r>
        <w:rPr>
          <w:rFonts w:ascii="仿宋" w:hAnsi="仿宋" w:eastAsia="仿宋" w:cs="仿宋"/>
          <w:b/>
          <w:u w:color="auto"/>
        </w:rPr>
        <w:t>：</w:t>
      </w:r>
      <w:r>
        <w:rPr>
          <w:rFonts w:hint="eastAsia" w:ascii="仿宋" w:hAnsi="仿宋" w:eastAsia="仿宋" w:cs="仿宋"/>
        </w:rPr>
        <w:t>反映按房改政策规定的标准，行政事业单位向职工（含离退休人员）发放的租金补贴。</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三十二、住房保障支出(类)住房改革支出(款)购房补贴(项)</w:t>
      </w:r>
      <w:r>
        <w:rPr>
          <w:rFonts w:ascii="仿宋" w:hAnsi="仿宋" w:eastAsia="仿宋" w:cs="仿宋"/>
          <w:b/>
          <w:u w:color="auto"/>
        </w:rPr>
        <w:t>：</w:t>
      </w:r>
      <w:r>
        <w:rPr>
          <w:rFonts w:hint="eastAsia" w:ascii="仿宋" w:hAnsi="仿宋" w:eastAsia="仿宋" w:cs="仿宋"/>
        </w:rPr>
        <w:t>反映按房改政策规定，行政事业单位向符合条件职工（含离退休人员）、军队(含武警)向转役复员离退休人员发放的用于购买住房的补贴。</w:t>
      </w:r>
    </w:p>
    <w:sectPr>
      <w:pgSz w:w="11906" w:h="16838"/>
      <w:pgMar w:top="1440" w:right="1080" w:bottom="1440" w:left="1080" w:header="170" w:footer="280" w:gutter="0"/>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Liberation Sans">
    <w:altName w:val="宋体"/>
    <w:panose1 w:val="00000000000000000000"/>
    <w:charset w:val="86"/>
    <w:family w:val="roman"/>
    <w:pitch w:val="default"/>
    <w:sig w:usb0="00000000" w:usb1="00000000" w:usb2="00000021" w:usb3="00000000" w:csb0="600001BF" w:csb1="DFF70000"/>
  </w:font>
  <w:font w:name="Liberation Mono">
    <w:altName w:val="宋体"/>
    <w:panose1 w:val="00000000000000000000"/>
    <w:charset w:val="86"/>
    <w:family w:val="roman"/>
    <w:pitch w:val="default"/>
    <w:sig w:usb0="00000000" w:usb1="00000000" w:usb2="00000001" w:usb3="00000000" w:csb0="600001BF" w:csb1="DFF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0+F+ksQEA&#10;AE4DAAAOAAAAAAAAAAEAIAAAAB4BAABkcnMvZTJvRG9jLnhtbFBLBQYAAAAABgAGAFkBAABBBQAA&#10;AAA=&#10;">
              <v:fill on="f" focussize="0,0"/>
              <v:stroke on="f"/>
              <v:imagedata o:title=""/>
              <o:lock v:ext="edit" aspectratio="f"/>
              <v:textbox inset="0mm,0mm,0mm,0mm" style="mso-fit-shape-to-text:t;">
                <w:txbxContent>
                  <w:p>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DW0W6qsQEA&#10;AE8DAAAOAAAAAAAAAAEAIAAAAB4BAABkcnMvZTJvRG9jLnhtbFBLBQYAAAAABgAGAFkBAABBBQAA&#10;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Ac3PUcsQEA&#10;AE8DAAAOAAAAAAAAAAEAIAAAAB4BAABkcnMvZTJvRG9jLnhtbFBLBQYAAAAABgAGAFkBAABBBQAA&#10;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wps:txbx>
                    <wps:bodyPr wrap="none" lIns="0" tIns="0" rIns="0" bIns="0" upright="1">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B9hkcbIB&#10;AABPAwAADgAAAAAAAAABACAAAAAeAQAAZHJzL2Uyb0RvYy54bWxQSwUGAAAAAAYABgBZAQAAQgUA&#10;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wps:txbx>
                    <wps:bodyPr wrap="none" lIns="0" tIns="0" rIns="0" bIns="0" upright="1">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DArHtrsQEA&#10;AE8DAAAOAAAAAAAAAAEAIAAAAB4BAABkcnMvZTJvRG9jLnhtbFBLBQYAAAAABgAGAFkBAABBBQAA&#10;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DHfQMNsQEA&#10;AE4DAAAOAAAAAAAAAAEAIAAAAB4BAABkcnMvZTJvRG9jLnhtbFBLBQYAAAAABgAGAFkBAABBBQAA&#10;AAA=&#10;">
              <v:fill on="f" focussize="0,0"/>
              <v:stroke on="f"/>
              <v:imagedata o:title=""/>
              <o:lock v:ext="edit" aspectratio="f"/>
              <v:textbox inset="0mm,0mm,0mm,0mm" style="mso-fit-shape-to-text:t;">
                <w:txbxContent>
                  <w:p>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1">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fDB15LIB&#10;AABOAwAADgAAAAAAAAABACAAAAAeAQAAZHJzL2Uyb0RvYy54bWxQSwUGAAAAAAYABgBZAQAAQgUA&#10;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wps:txbx>
                    <wps:bodyPr wrap="none" lIns="0" tIns="0" rIns="0" bIns="0" upright="1">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P6GA0ywAQAA&#10;TgMAAA4AAAAAAAAAAQAgAAAAHgEAAGRycy9lMm9Eb2MueG1sUEsFBgAAAAAGAAYAWQEAAEAFAAAA&#10;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mVtLSLIB&#10;AABOAwAADgAAAAAAAAABACAAAAAeAQAAZHJzL2Uyb0RvYy54bWxQSwUGAAAAAAYABgBZAQAAQgUA&#10;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d0D/sQEA&#10;AE4DAAAOAAAAAAAAAAEAIAAAAB4BAABkcnMvZTJvRG9jLnhtbFBLBQYAAAAABgAGAFkBAABBBQAA&#10;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QHrbSbIB&#10;AABOAwAADgAAAAAAAAABACAAAAAeAQAAZHJzL2Uyb0RvYy54bWxQSwUGAAAAAAYABgBZAQAAQgUA&#10;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wrap="none" lIns="0" tIns="0" rIns="0" bIns="0" upright="1">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PbXgGawAQAA&#10;TgMAAA4AAAAAAAAAAQAgAAAAHgEAAGRycy9lMm9Eb2MueG1sUEsFBgAAAAAGAAYAWQEAAEAFAAAA&#10;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wps:txbx>
                    <wps:bodyPr wrap="none" lIns="0" tIns="0" rIns="0" bIns="0" upright="1">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A82hvQsQEA&#10;AE4DAAAOAAAAAAAAAAEAIAAAAB4BAABkcnMvZTJvRG9jLnhtbFBLBQYAAAAABgAGAFkBAABBBQAA&#10;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eastAsia"/>
        <w:lang w:val="en-US"/>
      </w:rPr>
    </w:pPr>
    <w:r>
      <w:rPr>
        <w:rFonts w:hint="eastAsia"/>
        <w:lang w:val="en-US"/>
      </w:rPr>
      <w:t>宜兴市人民检察院</w:t>
    </w:r>
    <w:r>
      <w:rPr>
        <w:rFonts w:hint="eastAsia"/>
        <w:lang w:val="en-US" w:eastAsia="zh-CN"/>
      </w:rPr>
      <w:t>2024</w:t>
    </w:r>
    <w:r>
      <w:rPr>
        <w:rFonts w:hint="eastAsia"/>
        <w:lang w:val="en-US"/>
      </w:rPr>
      <w:t>年度</w:t>
    </w:r>
    <w:r>
      <w:rPr>
        <w:u w:color="auto"/>
      </w:rPr>
      <w:t>部门决算公开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0"/>
  <w:autoHyphenation/>
  <w:noPunctuationKerning w:val="1"/>
  <w:characterSpacingControl w:val="doNotCompress"/>
  <w:hdrShapeDefaults>
    <o:shapelayout v:ext="edit">
      <o:idmap v:ext="edit" data="1,3"/>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hZDYyZDRkNjBlM2JhZTAwNWZjYTM1ZGFmNGQwMjEifQ=="/>
  </w:docVars>
  <w:rsids>
    <w:rsidRoot w:val="006E012F"/>
    <w:rsid w:val="00042122"/>
    <w:rsid w:val="00064984"/>
    <w:rsid w:val="00071789"/>
    <w:rsid w:val="000C024B"/>
    <w:rsid w:val="000F12AB"/>
    <w:rsid w:val="001C31F9"/>
    <w:rsid w:val="001D7787"/>
    <w:rsid w:val="002E63B1"/>
    <w:rsid w:val="00407CA7"/>
    <w:rsid w:val="00413AD8"/>
    <w:rsid w:val="004743E0"/>
    <w:rsid w:val="004C0647"/>
    <w:rsid w:val="00671ED7"/>
    <w:rsid w:val="00672164"/>
    <w:rsid w:val="006732F1"/>
    <w:rsid w:val="006E012F"/>
    <w:rsid w:val="007C0F2D"/>
    <w:rsid w:val="008322BB"/>
    <w:rsid w:val="00867423"/>
    <w:rsid w:val="008B5B05"/>
    <w:rsid w:val="009965EA"/>
    <w:rsid w:val="00A6752E"/>
    <w:rsid w:val="00B92181"/>
    <w:rsid w:val="00BD7F33"/>
    <w:rsid w:val="00C15920"/>
    <w:rsid w:val="00C82582"/>
    <w:rsid w:val="00CF349C"/>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06489"/>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529C1"/>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B7405"/>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61EBB"/>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8C4C00"/>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1528C"/>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ind w:left="-40"/>
      <w:outlineLvl w:val="0"/>
    </w:pPr>
    <w:rPr>
      <w:sz w:val="52"/>
      <w:szCs w:val="52"/>
    </w:rPr>
  </w:style>
  <w:style w:type="paragraph" w:styleId="3">
    <w:name w:val="heading 2"/>
    <w:basedOn w:val="1"/>
    <w:next w:val="1"/>
    <w:qFormat/>
    <w:uiPriority w:val="1"/>
    <w:pPr>
      <w:ind w:right="18"/>
      <w:jc w:val="center"/>
      <w:outlineLvl w:val="1"/>
    </w:pPr>
    <w:rPr>
      <w:sz w:val="44"/>
      <w:szCs w:val="44"/>
    </w:rPr>
  </w:style>
  <w:style w:type="paragraph" w:styleId="4">
    <w:name w:val="heading 3"/>
    <w:basedOn w:val="1"/>
    <w:next w:val="1"/>
    <w:qFormat/>
    <w:uiPriority w:val="1"/>
    <w:pPr>
      <w:ind w:left="1"/>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outlineLvl w:val="4"/>
    </w:pPr>
    <w:rPr>
      <w:sz w:val="33"/>
      <w:szCs w:val="33"/>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列表段落1"/>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443</Words>
  <Characters>1567</Characters>
  <Lines>58</Lines>
  <Paragraphs>16</Paragraphs>
  <TotalTime>22</TotalTime>
  <ScaleCrop>false</ScaleCrop>
  <LinksUpToDate>false</LinksUpToDate>
  <CharactersWithSpaces>1574</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Administrator</cp:lastModifiedBy>
  <dcterms:modified xsi:type="dcterms:W3CDTF">2025-07-24T01:05:31Z</dcterms:modified>
  <dc:title>部门决算公开</dc:title>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A531D56D84014C68B649E63286BEA6BA_13</vt:lpwstr>
  </property>
  <property fmtid="{D5CDD505-2E9C-101B-9397-08002B2CF9AE}" pid="5" name="KSOProductBuildVer">
    <vt:lpwstr>2052-11.8.2.9015</vt:lpwstr>
  </property>
  <property fmtid="{D5CDD505-2E9C-101B-9397-08002B2CF9AE}" pid="6" name="LastSaved">
    <vt:filetime>2021-04-15T00:00:00Z</vt:filetime>
  </property>
  <property fmtid="{D5CDD505-2E9C-101B-9397-08002B2CF9AE}" pid="7" name="KSOTemplateDocerSaveRecord">
    <vt:lpwstr>eyJoZGlkIjoiODM5ZWJjZGI4ZjI3OTI1NThiNGI5MDJhMjg2MWRmMjIiLCJ1c2VySWQiOiIyNzcxMjA5MjIifQ==</vt:lpwstr>
  </property>
</Properties>
</file>